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hint="default" w:ascii="仿宋" w:hAnsi="仿宋" w:eastAsia="仿宋" w:cs="仿宋"/>
          <w:color w:val="auto"/>
          <w:kern w:val="0"/>
          <w:sz w:val="24"/>
          <w:highlight w:val="none"/>
          <w:lang w:val="en-US" w:eastAsia="zh-CN"/>
        </w:rPr>
      </w:pP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二</w:t>
      </w:r>
      <w:r>
        <w:rPr>
          <w:rFonts w:hint="eastAsia" w:ascii="仿宋" w:hAnsi="仿宋" w:eastAsia="仿宋" w:cs="仿宋"/>
          <w:color w:val="auto"/>
          <w:sz w:val="24"/>
          <w:highlight w:val="none"/>
          <w:lang w:val="en-US" w:eastAsia="zh-CN"/>
        </w:rPr>
        <w:t>期</w:t>
      </w:r>
      <w:r>
        <w:rPr>
          <w:rFonts w:hint="eastAsia" w:ascii="仿宋" w:hAnsi="仿宋" w:eastAsia="仿宋" w:cs="仿宋"/>
          <w:color w:val="auto"/>
          <w:sz w:val="24"/>
          <w:highlight w:val="none"/>
        </w:rPr>
        <w:t>-风水电-比选-20</w:t>
      </w:r>
      <w:r>
        <w:rPr>
          <w:rFonts w:hint="eastAsia" w:ascii="仿宋" w:hAnsi="仿宋" w:eastAsia="仿宋" w:cs="仿宋"/>
          <w:color w:val="auto"/>
          <w:sz w:val="24"/>
          <w:highlight w:val="none"/>
          <w:lang w:val="en-US" w:eastAsia="zh-CN"/>
        </w:rPr>
        <w:t>21</w:t>
      </w:r>
      <w:r>
        <w:rPr>
          <w:rFonts w:hint="eastAsia" w:ascii="仿宋" w:hAnsi="仿宋" w:eastAsia="仿宋" w:cs="仿宋"/>
          <w:color w:val="auto"/>
          <w:sz w:val="24"/>
          <w:highlight w:val="none"/>
        </w:rPr>
        <w:t>-0</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区间箱</w:t>
      </w: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spacing w:line="360" w:lineRule="auto"/>
        <w:jc w:val="center"/>
        <w:rPr>
          <w:rFonts w:hint="eastAsia" w:ascii="仿宋" w:hAnsi="仿宋" w:eastAsia="仿宋" w:cs="仿宋"/>
          <w:color w:val="auto"/>
          <w:spacing w:val="24"/>
          <w:w w:val="80"/>
          <w:sz w:val="44"/>
          <w:szCs w:val="44"/>
          <w:highlight w:val="none"/>
          <w:lang w:eastAsia="zh-CN"/>
        </w:rPr>
      </w:pPr>
      <w:r>
        <w:rPr>
          <w:rFonts w:hint="eastAsia" w:ascii="仿宋" w:hAnsi="仿宋" w:eastAsia="仿宋" w:cs="仿宋"/>
          <w:b/>
          <w:color w:val="auto"/>
          <w:sz w:val="36"/>
          <w:szCs w:val="36"/>
          <w:highlight w:val="none"/>
        </w:rPr>
        <w:t>项目名称：重庆轨道交通九号线二期工程（兴科大道～花石沟）风水电系统</w:t>
      </w:r>
      <w:r>
        <w:rPr>
          <w:rFonts w:hint="eastAsia" w:ascii="仿宋" w:hAnsi="仿宋" w:eastAsia="仿宋" w:cs="仿宋"/>
          <w:b/>
          <w:color w:val="auto"/>
          <w:sz w:val="36"/>
          <w:szCs w:val="36"/>
          <w:highlight w:val="none"/>
          <w:lang w:val="en-US" w:eastAsia="zh-CN"/>
        </w:rPr>
        <w:t>区间箱</w:t>
      </w:r>
      <w:r>
        <w:rPr>
          <w:rFonts w:hint="eastAsia" w:ascii="仿宋" w:hAnsi="仿宋" w:eastAsia="仿宋" w:cs="仿宋"/>
          <w:b/>
          <w:color w:val="auto"/>
          <w:sz w:val="36"/>
          <w:szCs w:val="36"/>
          <w:highlight w:val="none"/>
        </w:rPr>
        <w:t>采购</w:t>
      </w:r>
      <w:r>
        <w:rPr>
          <w:rFonts w:hint="eastAsia" w:ascii="仿宋" w:hAnsi="仿宋" w:eastAsia="仿宋" w:cs="仿宋"/>
          <w:b/>
          <w:color w:val="auto"/>
          <w:sz w:val="36"/>
          <w:szCs w:val="36"/>
          <w:highlight w:val="none"/>
          <w:lang w:eastAsia="zh-CN"/>
        </w:rPr>
        <w:t>（</w:t>
      </w:r>
      <w:r>
        <w:rPr>
          <w:rFonts w:hint="eastAsia" w:ascii="仿宋" w:hAnsi="仿宋" w:eastAsia="仿宋" w:cs="仿宋"/>
          <w:b/>
          <w:color w:val="auto"/>
          <w:sz w:val="36"/>
          <w:szCs w:val="36"/>
          <w:highlight w:val="none"/>
          <w:lang w:val="en-US" w:eastAsia="zh-CN"/>
        </w:rPr>
        <w:t>第二次</w:t>
      </w:r>
      <w:r>
        <w:rPr>
          <w:rFonts w:hint="eastAsia" w:ascii="仿宋" w:hAnsi="仿宋" w:eastAsia="仿宋" w:cs="仿宋"/>
          <w:b/>
          <w:color w:val="auto"/>
          <w:sz w:val="36"/>
          <w:szCs w:val="36"/>
          <w:highlight w:val="none"/>
          <w:lang w:eastAsia="zh-CN"/>
        </w:rPr>
        <w:t>）</w:t>
      </w:r>
    </w:p>
    <w:p>
      <w:pPr>
        <w:autoSpaceDE w:val="0"/>
        <w:autoSpaceDN w:val="0"/>
        <w:adjustRightInd w:val="0"/>
        <w:snapToGrid w:val="0"/>
        <w:spacing w:line="360" w:lineRule="auto"/>
        <w:jc w:val="both"/>
        <w:rPr>
          <w:rFonts w:hint="eastAsia" w:ascii="仿宋" w:hAnsi="仿宋" w:eastAsia="仿宋" w:cs="仿宋"/>
          <w:b/>
          <w:bCs/>
          <w:color w:val="auto"/>
          <w:spacing w:val="24"/>
          <w:w w:val="80"/>
          <w:sz w:val="72"/>
          <w:szCs w:val="72"/>
          <w:highlight w:val="none"/>
        </w:rPr>
      </w:pPr>
    </w:p>
    <w:p>
      <w:pPr>
        <w:autoSpaceDE w:val="0"/>
        <w:autoSpaceDN w:val="0"/>
        <w:adjustRightInd w:val="0"/>
        <w:snapToGrid w:val="0"/>
        <w:spacing w:line="360" w:lineRule="auto"/>
        <w:jc w:val="center"/>
        <w:rPr>
          <w:rFonts w:ascii="仿宋" w:hAnsi="仿宋" w:eastAsia="仿宋" w:cs="仿宋"/>
          <w:b/>
          <w:bCs/>
          <w:color w:val="auto"/>
          <w:spacing w:val="24"/>
          <w:w w:val="80"/>
          <w:sz w:val="72"/>
          <w:szCs w:val="72"/>
          <w:highlight w:val="none"/>
        </w:rPr>
      </w:pPr>
      <w:r>
        <w:rPr>
          <w:rFonts w:hint="eastAsia" w:ascii="仿宋" w:hAnsi="仿宋" w:eastAsia="仿宋" w:cs="仿宋"/>
          <w:b/>
          <w:bCs/>
          <w:color w:val="auto"/>
          <w:spacing w:val="24"/>
          <w:w w:val="80"/>
          <w:sz w:val="72"/>
          <w:szCs w:val="72"/>
          <w:highlight w:val="none"/>
        </w:rPr>
        <w:t>比 选</w:t>
      </w:r>
      <w:r>
        <w:rPr>
          <w:rFonts w:hint="eastAsia" w:ascii="仿宋" w:hAnsi="仿宋" w:eastAsia="仿宋" w:cs="仿宋"/>
          <w:b/>
          <w:bCs/>
          <w:color w:val="auto"/>
          <w:spacing w:val="24"/>
          <w:w w:val="80"/>
          <w:sz w:val="72"/>
          <w:szCs w:val="72"/>
          <w:highlight w:val="none"/>
          <w:lang w:val="en-US" w:eastAsia="zh-CN"/>
        </w:rPr>
        <w:t xml:space="preserve"> </w:t>
      </w:r>
      <w:r>
        <w:rPr>
          <w:rFonts w:hint="eastAsia" w:ascii="仿宋" w:hAnsi="仿宋" w:eastAsia="仿宋" w:cs="仿宋"/>
          <w:b/>
          <w:bCs/>
          <w:color w:val="auto"/>
          <w:spacing w:val="24"/>
          <w:w w:val="80"/>
          <w:sz w:val="72"/>
          <w:szCs w:val="72"/>
          <w:highlight w:val="none"/>
        </w:rPr>
        <w:t>文 件</w:t>
      </w:r>
    </w:p>
    <w:p>
      <w:pPr>
        <w:autoSpaceDE w:val="0"/>
        <w:autoSpaceDN w:val="0"/>
        <w:adjustRightInd w:val="0"/>
        <w:snapToGrid w:val="0"/>
        <w:spacing w:line="360" w:lineRule="auto"/>
        <w:jc w:val="center"/>
        <w:rPr>
          <w:rFonts w:ascii="仿宋" w:hAnsi="仿宋" w:eastAsia="仿宋" w:cs="仿宋"/>
          <w:b/>
          <w:bCs/>
          <w:color w:val="auto"/>
          <w:spacing w:val="24"/>
          <w:w w:val="80"/>
          <w:sz w:val="44"/>
          <w:szCs w:val="44"/>
          <w:highlight w:val="none"/>
        </w:rPr>
      </w:pPr>
    </w:p>
    <w:p>
      <w:pPr>
        <w:spacing w:line="360" w:lineRule="auto"/>
        <w:jc w:val="center"/>
        <w:rPr>
          <w:rFonts w:ascii="仿宋" w:hAnsi="仿宋" w:eastAsia="仿宋" w:cs="仿宋"/>
          <w:b/>
          <w:bCs/>
          <w:color w:val="000000"/>
          <w:sz w:val="44"/>
          <w:szCs w:val="44"/>
          <w:highlight w:val="none"/>
        </w:rPr>
      </w:pPr>
    </w:p>
    <w:p>
      <w:pPr>
        <w:spacing w:line="360" w:lineRule="auto"/>
        <w:jc w:val="center"/>
        <w:rPr>
          <w:rFonts w:ascii="仿宋" w:hAnsi="仿宋" w:eastAsia="仿宋" w:cs="仿宋"/>
          <w:b/>
          <w:bCs/>
          <w:color w:val="000000"/>
          <w:sz w:val="44"/>
          <w:szCs w:val="44"/>
          <w:highlight w:val="none"/>
        </w:rPr>
      </w:pPr>
    </w:p>
    <w:p>
      <w:pPr>
        <w:spacing w:line="360" w:lineRule="auto"/>
        <w:jc w:val="center"/>
        <w:rPr>
          <w:rFonts w:ascii="仿宋" w:hAnsi="仿宋" w:eastAsia="仿宋" w:cs="仿宋"/>
          <w:b/>
          <w:bCs/>
          <w:color w:val="000000"/>
          <w:w w:val="150"/>
          <w:sz w:val="36"/>
          <w:szCs w:val="36"/>
          <w:highlight w:val="none"/>
        </w:rPr>
      </w:pPr>
      <w:r>
        <w:rPr>
          <w:rFonts w:hint="eastAsia" w:ascii="仿宋" w:hAnsi="仿宋" w:eastAsia="仿宋" w:cs="仿宋"/>
          <w:b/>
          <w:bCs/>
          <w:color w:val="auto"/>
          <w:sz w:val="36"/>
          <w:szCs w:val="36"/>
          <w:highlight w:val="none"/>
          <w:lang w:val="en-US" w:eastAsia="zh-CN"/>
        </w:rPr>
        <w:t>比选</w:t>
      </w:r>
      <w:r>
        <w:rPr>
          <w:rFonts w:hint="eastAsia" w:ascii="仿宋" w:hAnsi="仿宋" w:eastAsia="仿宋" w:cs="仿宋"/>
          <w:b/>
          <w:bCs/>
          <w:color w:val="auto"/>
          <w:sz w:val="36"/>
          <w:szCs w:val="36"/>
          <w:highlight w:val="none"/>
        </w:rPr>
        <w:t>人：重庆机电控股集团机电工程技术有限公司</w:t>
      </w:r>
    </w:p>
    <w:p>
      <w:pPr>
        <w:spacing w:line="360" w:lineRule="auto"/>
        <w:jc w:val="center"/>
        <w:rPr>
          <w:rFonts w:ascii="仿宋" w:hAnsi="仿宋" w:eastAsia="仿宋" w:cs="仿宋"/>
          <w:color w:val="000000"/>
          <w:kern w:val="0"/>
          <w:sz w:val="36"/>
          <w:szCs w:val="36"/>
          <w:highlight w:val="none"/>
        </w:rPr>
      </w:pPr>
    </w:p>
    <w:p>
      <w:pPr>
        <w:spacing w:line="360" w:lineRule="auto"/>
        <w:jc w:val="center"/>
        <w:rPr>
          <w:rFonts w:ascii="仿宋" w:hAnsi="仿宋" w:eastAsia="仿宋" w:cs="仿宋"/>
          <w:b/>
          <w:color w:val="auto"/>
          <w:kern w:val="0"/>
          <w:sz w:val="28"/>
          <w:szCs w:val="28"/>
          <w:highlight w:val="none"/>
        </w:rPr>
        <w:sectPr>
          <w:headerReference r:id="rId4" w:type="first"/>
          <w:headerReference r:id="rId3" w:type="default"/>
          <w:footerReference r:id="rId5" w:type="default"/>
          <w:pgSz w:w="11906" w:h="16838"/>
          <w:pgMar w:top="1021" w:right="1466" w:bottom="623" w:left="1620" w:header="851" w:footer="992" w:gutter="0"/>
          <w:cols w:space="425" w:num="1"/>
          <w:titlePg/>
          <w:docGrid w:type="lines" w:linePitch="312" w:charSpace="0"/>
        </w:sectPr>
      </w:pPr>
      <w:r>
        <w:rPr>
          <w:rFonts w:hint="eastAsia" w:ascii="仿宋" w:hAnsi="仿宋" w:eastAsia="仿宋" w:cs="仿宋"/>
          <w:b/>
          <w:bCs/>
          <w:color w:val="000000"/>
          <w:kern w:val="0"/>
          <w:sz w:val="36"/>
          <w:szCs w:val="36"/>
          <w:highlight w:val="none"/>
        </w:rPr>
        <w:t>二○</w:t>
      </w:r>
      <w:r>
        <w:rPr>
          <w:rFonts w:hint="eastAsia" w:ascii="仿宋" w:hAnsi="仿宋" w:eastAsia="仿宋" w:cs="仿宋"/>
          <w:b/>
          <w:bCs/>
          <w:color w:val="000000"/>
          <w:kern w:val="0"/>
          <w:sz w:val="36"/>
          <w:szCs w:val="36"/>
          <w:highlight w:val="none"/>
          <w:lang w:eastAsia="zh-CN"/>
        </w:rPr>
        <w:t>二</w:t>
      </w:r>
      <w:r>
        <w:rPr>
          <w:rFonts w:hint="eastAsia" w:ascii="仿宋" w:hAnsi="仿宋" w:eastAsia="仿宋" w:cs="仿宋"/>
          <w:b/>
          <w:bCs/>
          <w:color w:val="000000"/>
          <w:kern w:val="0"/>
          <w:sz w:val="36"/>
          <w:szCs w:val="36"/>
          <w:highlight w:val="none"/>
          <w:lang w:val="en-US" w:eastAsia="zh-CN"/>
        </w:rPr>
        <w:t>一</w:t>
      </w:r>
      <w:r>
        <w:rPr>
          <w:rFonts w:hint="eastAsia" w:ascii="仿宋" w:hAnsi="仿宋" w:eastAsia="仿宋" w:cs="仿宋"/>
          <w:b/>
          <w:bCs/>
          <w:color w:val="000000"/>
          <w:kern w:val="0"/>
          <w:sz w:val="36"/>
          <w:szCs w:val="36"/>
          <w:highlight w:val="none"/>
        </w:rPr>
        <w:t>年</w:t>
      </w:r>
      <w:r>
        <w:rPr>
          <w:rFonts w:hint="eastAsia" w:ascii="仿宋" w:hAnsi="仿宋" w:eastAsia="仿宋" w:cs="仿宋"/>
          <w:b/>
          <w:bCs/>
          <w:color w:val="000000"/>
          <w:kern w:val="0"/>
          <w:sz w:val="36"/>
          <w:szCs w:val="36"/>
          <w:highlight w:val="none"/>
          <w:lang w:val="en-US" w:eastAsia="zh-CN"/>
        </w:rPr>
        <w:t>十一</w:t>
      </w:r>
      <w:r>
        <w:rPr>
          <w:rFonts w:hint="eastAsia" w:ascii="仿宋" w:hAnsi="仿宋" w:eastAsia="仿宋" w:cs="仿宋"/>
          <w:b/>
          <w:bCs/>
          <w:color w:val="000000"/>
          <w:kern w:val="0"/>
          <w:sz w:val="36"/>
          <w:szCs w:val="36"/>
          <w:highlight w:val="none"/>
        </w:rPr>
        <w:t>月</w:t>
      </w: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autoSpaceDE w:val="0"/>
        <w:autoSpaceDN w:val="0"/>
        <w:adjustRightInd w:val="0"/>
        <w:snapToGrid w:val="0"/>
        <w:spacing w:line="360" w:lineRule="auto"/>
        <w:jc w:val="left"/>
        <w:rPr>
          <w:rFonts w:ascii="仿宋" w:hAnsi="仿宋" w:eastAsia="仿宋" w:cs="仿宋"/>
          <w:color w:val="auto"/>
          <w:kern w:val="0"/>
          <w:sz w:val="28"/>
          <w:szCs w:val="28"/>
          <w:highlight w:val="none"/>
        </w:rPr>
      </w:pPr>
    </w:p>
    <w:p>
      <w:pPr>
        <w:spacing w:line="360" w:lineRule="auto"/>
        <w:rPr>
          <w:rFonts w:ascii="仿宋" w:hAnsi="仿宋" w:eastAsia="仿宋" w:cs="仿宋"/>
          <w:b/>
          <w:color w:val="auto"/>
          <w:kern w:val="0"/>
          <w:position w:val="-2"/>
          <w:sz w:val="28"/>
          <w:szCs w:val="28"/>
          <w:highlight w:val="none"/>
        </w:rPr>
      </w:pPr>
      <w:r>
        <w:rPr>
          <w:rFonts w:hint="eastAsia" w:ascii="仿宋" w:hAnsi="仿宋" w:eastAsia="仿宋" w:cs="仿宋"/>
          <w:b/>
          <w:color w:val="auto"/>
          <w:kern w:val="0"/>
          <w:position w:val="-2"/>
          <w:sz w:val="28"/>
          <w:szCs w:val="28"/>
          <w:highlight w:val="none"/>
        </w:rPr>
        <w:br w:type="page"/>
      </w:r>
    </w:p>
    <w:p>
      <w:pPr>
        <w:spacing w:line="360" w:lineRule="auto"/>
        <w:jc w:val="center"/>
        <w:rPr>
          <w:rFonts w:ascii="仿宋" w:hAnsi="仿宋" w:eastAsia="仿宋" w:cs="仿宋"/>
          <w:b/>
          <w:color w:val="auto"/>
          <w:kern w:val="0"/>
          <w:position w:val="-2"/>
          <w:sz w:val="28"/>
          <w:szCs w:val="28"/>
          <w:highlight w:val="none"/>
        </w:rPr>
      </w:pPr>
    </w:p>
    <w:p>
      <w:pPr>
        <w:spacing w:line="360" w:lineRule="auto"/>
        <w:jc w:val="center"/>
        <w:rPr>
          <w:rFonts w:ascii="仿宋" w:hAnsi="仿宋" w:eastAsia="仿宋" w:cs="仿宋"/>
          <w:b/>
          <w:color w:val="auto"/>
          <w:spacing w:val="1"/>
          <w:kern w:val="0"/>
          <w:position w:val="-2"/>
          <w:sz w:val="40"/>
          <w:szCs w:val="40"/>
          <w:highlight w:val="none"/>
        </w:rPr>
      </w:pPr>
      <w:r>
        <w:rPr>
          <w:rFonts w:hint="eastAsia" w:ascii="仿宋" w:hAnsi="仿宋" w:eastAsia="仿宋" w:cs="仿宋"/>
          <w:b/>
          <w:color w:val="auto"/>
          <w:kern w:val="0"/>
          <w:position w:val="-2"/>
          <w:sz w:val="40"/>
          <w:szCs w:val="40"/>
          <w:highlight w:val="none"/>
        </w:rPr>
        <w:t xml:space="preserve">目   </w:t>
      </w:r>
      <w:r>
        <w:rPr>
          <w:rFonts w:hint="eastAsia" w:ascii="仿宋" w:hAnsi="仿宋" w:eastAsia="仿宋" w:cs="仿宋"/>
          <w:b/>
          <w:color w:val="auto"/>
          <w:spacing w:val="1"/>
          <w:kern w:val="0"/>
          <w:position w:val="-2"/>
          <w:sz w:val="40"/>
          <w:szCs w:val="40"/>
          <w:highlight w:val="none"/>
        </w:rPr>
        <w:t>录</w:t>
      </w:r>
    </w:p>
    <w:p>
      <w:pPr>
        <w:spacing w:line="360" w:lineRule="auto"/>
        <w:jc w:val="center"/>
        <w:rPr>
          <w:rFonts w:ascii="仿宋" w:hAnsi="仿宋" w:eastAsia="仿宋" w:cs="仿宋"/>
          <w:b/>
          <w:color w:val="auto"/>
          <w:spacing w:val="1"/>
          <w:kern w:val="0"/>
          <w:position w:val="-2"/>
          <w:sz w:val="28"/>
          <w:szCs w:val="28"/>
          <w:highlight w:val="none"/>
        </w:rPr>
      </w:pPr>
    </w:p>
    <w:p>
      <w:pPr>
        <w:pStyle w:val="20"/>
        <w:tabs>
          <w:tab w:val="right" w:leader="dot" w:pos="8820"/>
          <w:tab w:val="clear" w:pos="630"/>
          <w:tab w:val="clear" w:pos="9277"/>
        </w:tabs>
        <w:rPr>
          <w:sz w:val="24"/>
          <w:szCs w:val="18"/>
        </w:rPr>
      </w:pPr>
      <w:r>
        <w:rPr>
          <w:rFonts w:hint="eastAsia" w:ascii="仿宋" w:hAnsi="仿宋" w:eastAsia="仿宋" w:cs="仿宋"/>
          <w:b/>
          <w:color w:val="auto"/>
          <w:spacing w:val="1"/>
          <w:kern w:val="0"/>
          <w:position w:val="-2"/>
          <w:sz w:val="18"/>
          <w:szCs w:val="18"/>
          <w:highlight w:val="none"/>
        </w:rPr>
        <w:fldChar w:fldCharType="begin"/>
      </w:r>
      <w:r>
        <w:rPr>
          <w:rFonts w:hint="eastAsia" w:ascii="仿宋" w:hAnsi="仿宋" w:eastAsia="仿宋" w:cs="仿宋"/>
          <w:b/>
          <w:color w:val="auto"/>
          <w:spacing w:val="1"/>
          <w:kern w:val="0"/>
          <w:position w:val="-2"/>
          <w:sz w:val="18"/>
          <w:szCs w:val="18"/>
          <w:highlight w:val="none"/>
        </w:rPr>
        <w:instrText xml:space="preserve">TOC \o "1-2" \h \u </w:instrText>
      </w:r>
      <w:r>
        <w:rPr>
          <w:rFonts w:hint="eastAsia" w:ascii="仿宋" w:hAnsi="仿宋" w:eastAsia="仿宋" w:cs="仿宋"/>
          <w:b/>
          <w:color w:val="auto"/>
          <w:spacing w:val="1"/>
          <w:kern w:val="0"/>
          <w:position w:val="-2"/>
          <w:sz w:val="18"/>
          <w:szCs w:val="18"/>
          <w:highlight w:val="none"/>
        </w:rPr>
        <w:fldChar w:fldCharType="separate"/>
      </w: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_Toc20223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bCs/>
          <w:kern w:val="44"/>
          <w:sz w:val="24"/>
          <w:szCs w:val="32"/>
          <w:highlight w:val="none"/>
        </w:rPr>
        <w:t>比选</w:t>
      </w:r>
      <w:r>
        <w:rPr>
          <w:rFonts w:hint="eastAsia" w:ascii="仿宋" w:hAnsi="仿宋" w:eastAsia="仿宋" w:cs="仿宋"/>
          <w:bCs/>
          <w:kern w:val="44"/>
          <w:sz w:val="24"/>
          <w:szCs w:val="32"/>
          <w:highlight w:val="none"/>
          <w:lang w:val="en-US" w:eastAsia="zh-CN"/>
        </w:rPr>
        <w:t>公告</w:t>
      </w:r>
      <w:r>
        <w:rPr>
          <w:sz w:val="24"/>
          <w:szCs w:val="18"/>
        </w:rPr>
        <w:tab/>
      </w:r>
      <w:r>
        <w:rPr>
          <w:sz w:val="24"/>
          <w:szCs w:val="18"/>
        </w:rPr>
        <w:fldChar w:fldCharType="begin"/>
      </w:r>
      <w:r>
        <w:rPr>
          <w:sz w:val="24"/>
          <w:szCs w:val="18"/>
        </w:rPr>
        <w:instrText xml:space="preserve"> PAGEREF _Toc20223 </w:instrText>
      </w:r>
      <w:r>
        <w:rPr>
          <w:sz w:val="24"/>
          <w:szCs w:val="18"/>
        </w:rPr>
        <w:fldChar w:fldCharType="separate"/>
      </w:r>
      <w:r>
        <w:rPr>
          <w:sz w:val="24"/>
          <w:szCs w:val="18"/>
        </w:rPr>
        <w:t>1</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_Toc26243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8"/>
          <w:highlight w:val="none"/>
        </w:rPr>
        <w:t xml:space="preserve">第一部分 </w:t>
      </w:r>
      <w:r>
        <w:rPr>
          <w:rFonts w:hint="eastAsia" w:ascii="仿宋" w:hAnsi="仿宋" w:eastAsia="仿宋" w:cs="仿宋"/>
          <w:snapToGrid w:val="0"/>
          <w:kern w:val="0"/>
          <w:sz w:val="24"/>
          <w:szCs w:val="28"/>
          <w:highlight w:val="none"/>
          <w:lang w:eastAsia="zh-CN"/>
        </w:rPr>
        <w:t>参选人</w:t>
      </w:r>
      <w:r>
        <w:rPr>
          <w:rFonts w:hint="eastAsia" w:ascii="仿宋" w:hAnsi="仿宋" w:eastAsia="仿宋" w:cs="仿宋"/>
          <w:snapToGrid w:val="0"/>
          <w:kern w:val="0"/>
          <w:sz w:val="24"/>
          <w:szCs w:val="28"/>
          <w:highlight w:val="none"/>
        </w:rPr>
        <w:t>须知</w:t>
      </w:r>
      <w:r>
        <w:rPr>
          <w:sz w:val="24"/>
          <w:szCs w:val="18"/>
        </w:rPr>
        <w:tab/>
      </w:r>
      <w:r>
        <w:rPr>
          <w:sz w:val="24"/>
          <w:szCs w:val="18"/>
        </w:rPr>
        <w:fldChar w:fldCharType="begin"/>
      </w:r>
      <w:r>
        <w:rPr>
          <w:sz w:val="24"/>
          <w:szCs w:val="18"/>
        </w:rPr>
        <w:instrText xml:space="preserve"> PAGEREF _Toc26243 </w:instrText>
      </w:r>
      <w:r>
        <w:rPr>
          <w:sz w:val="24"/>
          <w:szCs w:val="18"/>
        </w:rPr>
        <w:fldChar w:fldCharType="separate"/>
      </w:r>
      <w:r>
        <w:rPr>
          <w:sz w:val="24"/>
          <w:szCs w:val="18"/>
        </w:rPr>
        <w:t>3</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_Toc4093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1.比选概况及范围</w:t>
      </w:r>
      <w:r>
        <w:rPr>
          <w:sz w:val="24"/>
          <w:szCs w:val="18"/>
        </w:rPr>
        <w:tab/>
      </w:r>
      <w:r>
        <w:rPr>
          <w:sz w:val="24"/>
          <w:szCs w:val="18"/>
        </w:rPr>
        <w:fldChar w:fldCharType="begin"/>
      </w:r>
      <w:r>
        <w:rPr>
          <w:sz w:val="24"/>
          <w:szCs w:val="18"/>
        </w:rPr>
        <w:instrText xml:space="preserve"> PAGEREF _Toc4093 </w:instrText>
      </w:r>
      <w:r>
        <w:rPr>
          <w:sz w:val="24"/>
          <w:szCs w:val="18"/>
        </w:rPr>
        <w:fldChar w:fldCharType="separate"/>
      </w:r>
      <w:r>
        <w:rPr>
          <w:sz w:val="24"/>
          <w:szCs w:val="18"/>
        </w:rPr>
        <w:t>3</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_Toc12717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2.形式</w:t>
      </w:r>
      <w:r>
        <w:rPr>
          <w:sz w:val="24"/>
          <w:szCs w:val="18"/>
        </w:rPr>
        <w:tab/>
      </w:r>
      <w:r>
        <w:rPr>
          <w:sz w:val="24"/>
          <w:szCs w:val="18"/>
        </w:rPr>
        <w:fldChar w:fldCharType="begin"/>
      </w:r>
      <w:r>
        <w:rPr>
          <w:sz w:val="24"/>
          <w:szCs w:val="18"/>
        </w:rPr>
        <w:instrText xml:space="preserve"> PAGEREF _Toc12717 </w:instrText>
      </w:r>
      <w:r>
        <w:rPr>
          <w:sz w:val="24"/>
          <w:szCs w:val="18"/>
        </w:rPr>
        <w:fldChar w:fldCharType="separate"/>
      </w:r>
      <w:r>
        <w:rPr>
          <w:sz w:val="24"/>
          <w:szCs w:val="18"/>
        </w:rPr>
        <w:t>3</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_Toc26546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3.比选日程安排</w:t>
      </w:r>
      <w:r>
        <w:rPr>
          <w:sz w:val="24"/>
          <w:szCs w:val="18"/>
        </w:rPr>
        <w:tab/>
      </w:r>
      <w:r>
        <w:rPr>
          <w:sz w:val="24"/>
          <w:szCs w:val="18"/>
        </w:rPr>
        <w:fldChar w:fldCharType="begin"/>
      </w:r>
      <w:r>
        <w:rPr>
          <w:sz w:val="24"/>
          <w:szCs w:val="18"/>
        </w:rPr>
        <w:instrText xml:space="preserve"> PAGEREF _Toc26546 </w:instrText>
      </w:r>
      <w:r>
        <w:rPr>
          <w:sz w:val="24"/>
          <w:szCs w:val="18"/>
        </w:rPr>
        <w:fldChar w:fldCharType="separate"/>
      </w:r>
      <w:r>
        <w:rPr>
          <w:sz w:val="24"/>
          <w:szCs w:val="18"/>
        </w:rPr>
        <w:t>3</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_Toc21525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4.参选内容</w:t>
      </w:r>
      <w:r>
        <w:rPr>
          <w:rFonts w:hint="eastAsia" w:ascii="仿宋" w:hAnsi="仿宋" w:eastAsia="仿宋" w:cs="仿宋"/>
          <w:sz w:val="24"/>
          <w:szCs w:val="24"/>
          <w:highlight w:val="none"/>
          <w:lang w:val="en-US" w:eastAsia="zh-CN"/>
        </w:rPr>
        <w:t>工程清单</w:t>
      </w:r>
      <w:r>
        <w:rPr>
          <w:sz w:val="24"/>
          <w:szCs w:val="18"/>
        </w:rPr>
        <w:tab/>
      </w:r>
      <w:r>
        <w:rPr>
          <w:sz w:val="24"/>
          <w:szCs w:val="18"/>
        </w:rPr>
        <w:fldChar w:fldCharType="begin"/>
      </w:r>
      <w:r>
        <w:rPr>
          <w:sz w:val="24"/>
          <w:szCs w:val="18"/>
        </w:rPr>
        <w:instrText xml:space="preserve"> PAGEREF _Toc21525 </w:instrText>
      </w:r>
      <w:r>
        <w:rPr>
          <w:sz w:val="24"/>
          <w:szCs w:val="18"/>
        </w:rPr>
        <w:fldChar w:fldCharType="separate"/>
      </w:r>
      <w:r>
        <w:rPr>
          <w:sz w:val="24"/>
          <w:szCs w:val="18"/>
        </w:rPr>
        <w:t>4</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_Toc1155 </w:instrText>
      </w:r>
      <w:r>
        <w:rPr>
          <w:rFonts w:hint="eastAsia" w:ascii="仿宋" w:hAnsi="仿宋" w:eastAsia="仿宋" w:cs="仿宋"/>
          <w:spacing w:val="1"/>
          <w:kern w:val="0"/>
          <w:position w:val="-2"/>
          <w:sz w:val="24"/>
          <w:szCs w:val="18"/>
          <w:highlight w:val="none"/>
        </w:rPr>
        <w:fldChar w:fldCharType="separate"/>
      </w:r>
      <w:r>
        <w:rPr>
          <w:rFonts w:ascii="仿宋" w:hAnsi="仿宋" w:eastAsia="仿宋" w:cs="仿宋"/>
          <w:sz w:val="24"/>
          <w:szCs w:val="24"/>
        </w:rPr>
        <w:t xml:space="preserve">5. </w:t>
      </w:r>
      <w:r>
        <w:rPr>
          <w:rFonts w:hint="eastAsia" w:ascii="仿宋" w:hAnsi="仿宋" w:eastAsia="仿宋" w:cs="仿宋"/>
          <w:sz w:val="24"/>
          <w:szCs w:val="24"/>
          <w:highlight w:val="none"/>
        </w:rPr>
        <w:t>比选控制价</w:t>
      </w:r>
      <w:r>
        <w:rPr>
          <w:sz w:val="24"/>
          <w:szCs w:val="18"/>
        </w:rPr>
        <w:tab/>
      </w:r>
      <w:r>
        <w:rPr>
          <w:sz w:val="24"/>
          <w:szCs w:val="18"/>
        </w:rPr>
        <w:fldChar w:fldCharType="begin"/>
      </w:r>
      <w:r>
        <w:rPr>
          <w:sz w:val="24"/>
          <w:szCs w:val="18"/>
        </w:rPr>
        <w:instrText xml:space="preserve"> PAGEREF _Toc1155 </w:instrText>
      </w:r>
      <w:r>
        <w:rPr>
          <w:sz w:val="24"/>
          <w:szCs w:val="18"/>
        </w:rPr>
        <w:fldChar w:fldCharType="separate"/>
      </w:r>
      <w:r>
        <w:rPr>
          <w:sz w:val="24"/>
          <w:szCs w:val="18"/>
        </w:rPr>
        <w:t>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_Toc28584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6.技术要求</w:t>
      </w:r>
      <w:r>
        <w:rPr>
          <w:sz w:val="24"/>
          <w:szCs w:val="18"/>
        </w:rPr>
        <w:tab/>
      </w:r>
      <w:r>
        <w:rPr>
          <w:sz w:val="24"/>
          <w:szCs w:val="18"/>
        </w:rPr>
        <w:fldChar w:fldCharType="begin"/>
      </w:r>
      <w:r>
        <w:rPr>
          <w:sz w:val="24"/>
          <w:szCs w:val="18"/>
        </w:rPr>
        <w:instrText xml:space="preserve"> PAGEREF _Toc28584 </w:instrText>
      </w:r>
      <w:r>
        <w:rPr>
          <w:sz w:val="24"/>
          <w:szCs w:val="18"/>
        </w:rPr>
        <w:fldChar w:fldCharType="separate"/>
      </w:r>
      <w:r>
        <w:rPr>
          <w:sz w:val="24"/>
          <w:szCs w:val="18"/>
        </w:rPr>
        <w:t>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_Toc24924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7.参选有效期</w:t>
      </w:r>
      <w:r>
        <w:rPr>
          <w:sz w:val="24"/>
          <w:szCs w:val="18"/>
        </w:rPr>
        <w:tab/>
      </w:r>
      <w:r>
        <w:rPr>
          <w:sz w:val="24"/>
          <w:szCs w:val="18"/>
        </w:rPr>
        <w:fldChar w:fldCharType="begin"/>
      </w:r>
      <w:r>
        <w:rPr>
          <w:sz w:val="24"/>
          <w:szCs w:val="18"/>
        </w:rPr>
        <w:instrText xml:space="preserve"> PAGEREF _Toc24924 </w:instrText>
      </w:r>
      <w:r>
        <w:rPr>
          <w:sz w:val="24"/>
          <w:szCs w:val="18"/>
        </w:rPr>
        <w:fldChar w:fldCharType="separate"/>
      </w:r>
      <w:r>
        <w:rPr>
          <w:sz w:val="24"/>
          <w:szCs w:val="18"/>
        </w:rPr>
        <w:t>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_Toc14730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.迟交的参选文件</w:t>
      </w:r>
      <w:r>
        <w:rPr>
          <w:sz w:val="24"/>
          <w:szCs w:val="18"/>
        </w:rPr>
        <w:tab/>
      </w:r>
      <w:r>
        <w:rPr>
          <w:sz w:val="24"/>
          <w:szCs w:val="18"/>
        </w:rPr>
        <w:fldChar w:fldCharType="begin"/>
      </w:r>
      <w:r>
        <w:rPr>
          <w:sz w:val="24"/>
          <w:szCs w:val="18"/>
        </w:rPr>
        <w:instrText xml:space="preserve"> PAGEREF _Toc14730 </w:instrText>
      </w:r>
      <w:r>
        <w:rPr>
          <w:sz w:val="24"/>
          <w:szCs w:val="18"/>
        </w:rPr>
        <w:fldChar w:fldCharType="separate"/>
      </w:r>
      <w:r>
        <w:rPr>
          <w:sz w:val="24"/>
          <w:szCs w:val="18"/>
        </w:rPr>
        <w:t>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_Toc5392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.参选文件的符合性审查</w:t>
      </w:r>
      <w:r>
        <w:rPr>
          <w:sz w:val="24"/>
          <w:szCs w:val="18"/>
        </w:rPr>
        <w:tab/>
      </w:r>
      <w:r>
        <w:rPr>
          <w:sz w:val="24"/>
          <w:szCs w:val="18"/>
        </w:rPr>
        <w:fldChar w:fldCharType="begin"/>
      </w:r>
      <w:r>
        <w:rPr>
          <w:sz w:val="24"/>
          <w:szCs w:val="18"/>
        </w:rPr>
        <w:instrText xml:space="preserve"> PAGEREF _Toc5392 </w:instrText>
      </w:r>
      <w:r>
        <w:rPr>
          <w:sz w:val="24"/>
          <w:szCs w:val="18"/>
        </w:rPr>
        <w:fldChar w:fldCharType="separate"/>
      </w:r>
      <w:r>
        <w:rPr>
          <w:sz w:val="24"/>
          <w:szCs w:val="18"/>
        </w:rPr>
        <w:t>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_Toc21114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.评审</w:t>
      </w:r>
      <w:r>
        <w:rPr>
          <w:sz w:val="24"/>
          <w:szCs w:val="18"/>
        </w:rPr>
        <w:tab/>
      </w:r>
      <w:r>
        <w:rPr>
          <w:sz w:val="24"/>
          <w:szCs w:val="18"/>
        </w:rPr>
        <w:fldChar w:fldCharType="begin"/>
      </w:r>
      <w:r>
        <w:rPr>
          <w:sz w:val="24"/>
          <w:szCs w:val="18"/>
        </w:rPr>
        <w:instrText xml:space="preserve"> PAGEREF _Toc21114 </w:instrText>
      </w:r>
      <w:r>
        <w:rPr>
          <w:sz w:val="24"/>
          <w:szCs w:val="18"/>
        </w:rPr>
        <w:fldChar w:fldCharType="separate"/>
      </w:r>
      <w:r>
        <w:rPr>
          <w:sz w:val="24"/>
          <w:szCs w:val="18"/>
        </w:rPr>
        <w:t>6</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_Toc30137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.合同的授予</w:t>
      </w:r>
      <w:r>
        <w:rPr>
          <w:sz w:val="24"/>
          <w:szCs w:val="18"/>
        </w:rPr>
        <w:tab/>
      </w:r>
      <w:r>
        <w:rPr>
          <w:sz w:val="24"/>
          <w:szCs w:val="18"/>
        </w:rPr>
        <w:fldChar w:fldCharType="begin"/>
      </w:r>
      <w:r>
        <w:rPr>
          <w:sz w:val="24"/>
          <w:szCs w:val="18"/>
        </w:rPr>
        <w:instrText xml:space="preserve"> PAGEREF _Toc30137 </w:instrText>
      </w:r>
      <w:r>
        <w:rPr>
          <w:sz w:val="24"/>
          <w:szCs w:val="18"/>
        </w:rPr>
        <w:fldChar w:fldCharType="separate"/>
      </w:r>
      <w:r>
        <w:rPr>
          <w:sz w:val="24"/>
          <w:szCs w:val="18"/>
        </w:rPr>
        <w:t>6</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_Toc22328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.其它</w:t>
      </w:r>
      <w:r>
        <w:rPr>
          <w:sz w:val="24"/>
          <w:szCs w:val="18"/>
        </w:rPr>
        <w:tab/>
      </w:r>
      <w:r>
        <w:rPr>
          <w:sz w:val="24"/>
          <w:szCs w:val="18"/>
        </w:rPr>
        <w:fldChar w:fldCharType="begin"/>
      </w:r>
      <w:r>
        <w:rPr>
          <w:sz w:val="24"/>
          <w:szCs w:val="18"/>
        </w:rPr>
        <w:instrText xml:space="preserve"> PAGEREF _Toc22328 </w:instrText>
      </w:r>
      <w:r>
        <w:rPr>
          <w:sz w:val="24"/>
          <w:szCs w:val="18"/>
        </w:rPr>
        <w:fldChar w:fldCharType="separate"/>
      </w:r>
      <w:r>
        <w:rPr>
          <w:sz w:val="24"/>
          <w:szCs w:val="18"/>
        </w:rPr>
        <w:t>7</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_Toc30708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8"/>
          <w:lang w:val="en-US" w:eastAsia="zh-CN"/>
        </w:rPr>
        <w:t xml:space="preserve">第二部分 </w:t>
      </w:r>
      <w:r>
        <w:rPr>
          <w:rFonts w:hint="eastAsia" w:ascii="仿宋" w:hAnsi="仿宋" w:eastAsia="仿宋" w:cs="仿宋"/>
          <w:snapToGrid w:val="0"/>
          <w:kern w:val="0"/>
          <w:sz w:val="24"/>
          <w:szCs w:val="28"/>
          <w:highlight w:val="none"/>
        </w:rPr>
        <w:t>技术</w:t>
      </w:r>
      <w:r>
        <w:rPr>
          <w:rFonts w:hint="eastAsia" w:ascii="仿宋" w:hAnsi="仿宋" w:eastAsia="仿宋" w:cs="仿宋"/>
          <w:snapToGrid w:val="0"/>
          <w:kern w:val="0"/>
          <w:sz w:val="24"/>
          <w:szCs w:val="28"/>
          <w:highlight w:val="none"/>
          <w:lang w:val="en-US" w:eastAsia="zh-CN"/>
        </w:rPr>
        <w:t>要求</w:t>
      </w:r>
      <w:r>
        <w:rPr>
          <w:sz w:val="24"/>
          <w:szCs w:val="18"/>
        </w:rPr>
        <w:tab/>
      </w:r>
      <w:r>
        <w:rPr>
          <w:sz w:val="24"/>
          <w:szCs w:val="18"/>
        </w:rPr>
        <w:fldChar w:fldCharType="begin"/>
      </w:r>
      <w:r>
        <w:rPr>
          <w:sz w:val="24"/>
          <w:szCs w:val="18"/>
        </w:rPr>
        <w:instrText xml:space="preserve"> PAGEREF _Toc30708 </w:instrText>
      </w:r>
      <w:r>
        <w:rPr>
          <w:sz w:val="24"/>
          <w:szCs w:val="18"/>
        </w:rPr>
        <w:fldChar w:fldCharType="separate"/>
      </w:r>
      <w:r>
        <w:rPr>
          <w:sz w:val="24"/>
          <w:szCs w:val="18"/>
        </w:rPr>
        <w:t>8</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_Toc4421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8"/>
          <w:highlight w:val="none"/>
        </w:rPr>
        <w:t>第三部分 报价组成</w:t>
      </w:r>
      <w:r>
        <w:rPr>
          <w:sz w:val="24"/>
          <w:szCs w:val="18"/>
        </w:rPr>
        <w:tab/>
      </w:r>
      <w:r>
        <w:rPr>
          <w:sz w:val="24"/>
          <w:szCs w:val="18"/>
        </w:rPr>
        <w:fldChar w:fldCharType="begin"/>
      </w:r>
      <w:r>
        <w:rPr>
          <w:sz w:val="24"/>
          <w:szCs w:val="18"/>
        </w:rPr>
        <w:instrText xml:space="preserve"> PAGEREF _Toc4421 </w:instrText>
      </w:r>
      <w:r>
        <w:rPr>
          <w:sz w:val="24"/>
          <w:szCs w:val="18"/>
        </w:rPr>
        <w:fldChar w:fldCharType="separate"/>
      </w:r>
      <w:r>
        <w:rPr>
          <w:sz w:val="24"/>
          <w:szCs w:val="18"/>
        </w:rPr>
        <w:t>33</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_Toc12596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8"/>
          <w:highlight w:val="none"/>
        </w:rPr>
        <w:t>第四部分 参选文件格式</w:t>
      </w:r>
      <w:r>
        <w:rPr>
          <w:rFonts w:hint="eastAsia" w:ascii="仿宋" w:hAnsi="仿宋" w:eastAsia="仿宋" w:cs="仿宋"/>
          <w:snapToGrid w:val="0"/>
          <w:kern w:val="0"/>
          <w:sz w:val="24"/>
          <w:szCs w:val="28"/>
          <w:highlight w:val="none"/>
          <w:lang w:val="en-US" w:eastAsia="zh-CN"/>
        </w:rPr>
        <w:t>和编制要求</w:t>
      </w:r>
      <w:r>
        <w:rPr>
          <w:sz w:val="24"/>
          <w:szCs w:val="18"/>
        </w:rPr>
        <w:tab/>
      </w:r>
      <w:r>
        <w:rPr>
          <w:sz w:val="24"/>
          <w:szCs w:val="18"/>
        </w:rPr>
        <w:fldChar w:fldCharType="begin"/>
      </w:r>
      <w:r>
        <w:rPr>
          <w:sz w:val="24"/>
          <w:szCs w:val="18"/>
        </w:rPr>
        <w:instrText xml:space="preserve"> PAGEREF _Toc12596 </w:instrText>
      </w:r>
      <w:r>
        <w:rPr>
          <w:sz w:val="24"/>
          <w:szCs w:val="18"/>
        </w:rPr>
        <w:fldChar w:fldCharType="separate"/>
      </w:r>
      <w:r>
        <w:rPr>
          <w:sz w:val="24"/>
          <w:szCs w:val="18"/>
        </w:rPr>
        <w:t>35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_Toc12915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1.参选文件的语言及计量单位</w:t>
      </w:r>
      <w:r>
        <w:rPr>
          <w:sz w:val="24"/>
          <w:szCs w:val="18"/>
        </w:rPr>
        <w:tab/>
      </w:r>
      <w:r>
        <w:rPr>
          <w:sz w:val="24"/>
          <w:szCs w:val="18"/>
        </w:rPr>
        <w:fldChar w:fldCharType="begin"/>
      </w:r>
      <w:r>
        <w:rPr>
          <w:sz w:val="24"/>
          <w:szCs w:val="18"/>
        </w:rPr>
        <w:instrText xml:space="preserve"> PAGEREF _Toc12915 </w:instrText>
      </w:r>
      <w:r>
        <w:rPr>
          <w:sz w:val="24"/>
          <w:szCs w:val="18"/>
        </w:rPr>
        <w:fldChar w:fldCharType="separate"/>
      </w:r>
      <w:r>
        <w:rPr>
          <w:sz w:val="24"/>
          <w:szCs w:val="18"/>
        </w:rPr>
        <w:t>35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_Toc23939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2.参选货币</w:t>
      </w:r>
      <w:r>
        <w:rPr>
          <w:sz w:val="24"/>
          <w:szCs w:val="18"/>
        </w:rPr>
        <w:tab/>
      </w:r>
      <w:r>
        <w:rPr>
          <w:sz w:val="24"/>
          <w:szCs w:val="18"/>
        </w:rPr>
        <w:fldChar w:fldCharType="begin"/>
      </w:r>
      <w:r>
        <w:rPr>
          <w:sz w:val="24"/>
          <w:szCs w:val="18"/>
        </w:rPr>
        <w:instrText xml:space="preserve"> PAGEREF _Toc23939 </w:instrText>
      </w:r>
      <w:r>
        <w:rPr>
          <w:sz w:val="24"/>
          <w:szCs w:val="18"/>
        </w:rPr>
        <w:fldChar w:fldCharType="separate"/>
      </w:r>
      <w:r>
        <w:rPr>
          <w:sz w:val="24"/>
          <w:szCs w:val="18"/>
        </w:rPr>
        <w:t>35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_Toc6684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3.参选文件</w:t>
      </w:r>
      <w:r>
        <w:rPr>
          <w:rFonts w:hint="eastAsia" w:ascii="仿宋" w:hAnsi="仿宋" w:eastAsia="仿宋" w:cs="仿宋"/>
          <w:sz w:val="24"/>
          <w:szCs w:val="24"/>
          <w:highlight w:val="none"/>
          <w:lang w:val="en-US" w:eastAsia="zh-CN"/>
        </w:rPr>
        <w:t>的编制</w:t>
      </w:r>
      <w:r>
        <w:rPr>
          <w:rFonts w:hint="eastAsia" w:ascii="仿宋" w:hAnsi="仿宋" w:eastAsia="仿宋" w:cs="仿宋"/>
          <w:sz w:val="24"/>
          <w:szCs w:val="24"/>
          <w:highlight w:val="none"/>
        </w:rPr>
        <w:t>要求</w:t>
      </w:r>
      <w:r>
        <w:rPr>
          <w:sz w:val="24"/>
          <w:szCs w:val="18"/>
        </w:rPr>
        <w:tab/>
      </w:r>
      <w:r>
        <w:rPr>
          <w:sz w:val="24"/>
          <w:szCs w:val="18"/>
        </w:rPr>
        <w:fldChar w:fldCharType="begin"/>
      </w:r>
      <w:r>
        <w:rPr>
          <w:sz w:val="24"/>
          <w:szCs w:val="18"/>
        </w:rPr>
        <w:instrText xml:space="preserve"> PAGEREF _Toc6684 </w:instrText>
      </w:r>
      <w:r>
        <w:rPr>
          <w:sz w:val="24"/>
          <w:szCs w:val="18"/>
        </w:rPr>
        <w:fldChar w:fldCharType="separate"/>
      </w:r>
      <w:r>
        <w:rPr>
          <w:sz w:val="24"/>
          <w:szCs w:val="18"/>
        </w:rPr>
        <w:t>35</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1"/>
        <w:tabs>
          <w:tab w:val="right" w:leader="dot" w:pos="8820"/>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_Toc3173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.参选文件的提交方式、密封及其签署</w:t>
      </w:r>
      <w:r>
        <w:rPr>
          <w:sz w:val="24"/>
          <w:szCs w:val="18"/>
        </w:rPr>
        <w:tab/>
      </w:r>
      <w:r>
        <w:rPr>
          <w:sz w:val="24"/>
          <w:szCs w:val="18"/>
        </w:rPr>
        <w:fldChar w:fldCharType="begin"/>
      </w:r>
      <w:r>
        <w:rPr>
          <w:sz w:val="24"/>
          <w:szCs w:val="18"/>
        </w:rPr>
        <w:instrText xml:space="preserve"> PAGEREF _Toc3173 </w:instrText>
      </w:r>
      <w:r>
        <w:rPr>
          <w:sz w:val="24"/>
          <w:szCs w:val="18"/>
        </w:rPr>
        <w:fldChar w:fldCharType="separate"/>
      </w:r>
      <w:r>
        <w:rPr>
          <w:sz w:val="24"/>
          <w:szCs w:val="18"/>
        </w:rPr>
        <w:t>36</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_Toc22784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8"/>
        </w:rPr>
        <w:t xml:space="preserve">第五部分 </w:t>
      </w:r>
      <w:r>
        <w:rPr>
          <w:rFonts w:hint="eastAsia" w:ascii="仿宋" w:hAnsi="仿宋" w:eastAsia="仿宋" w:cs="仿宋"/>
          <w:snapToGrid w:val="0"/>
          <w:kern w:val="0"/>
          <w:sz w:val="24"/>
          <w:szCs w:val="28"/>
          <w:highlight w:val="none"/>
        </w:rPr>
        <w:t>合同主要条款</w:t>
      </w:r>
      <w:r>
        <w:rPr>
          <w:sz w:val="24"/>
          <w:szCs w:val="18"/>
        </w:rPr>
        <w:tab/>
      </w:r>
      <w:r>
        <w:rPr>
          <w:sz w:val="24"/>
          <w:szCs w:val="18"/>
        </w:rPr>
        <w:fldChar w:fldCharType="begin"/>
      </w:r>
      <w:r>
        <w:rPr>
          <w:sz w:val="24"/>
          <w:szCs w:val="18"/>
        </w:rPr>
        <w:instrText xml:space="preserve"> PAGEREF _Toc22784 </w:instrText>
      </w:r>
      <w:r>
        <w:rPr>
          <w:sz w:val="24"/>
          <w:szCs w:val="18"/>
        </w:rPr>
        <w:fldChar w:fldCharType="separate"/>
      </w:r>
      <w:r>
        <w:rPr>
          <w:sz w:val="24"/>
          <w:szCs w:val="18"/>
        </w:rPr>
        <w:t>37</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_Toc30139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4"/>
          <w:highlight w:val="none"/>
        </w:rPr>
        <w:t>附件一：参选函</w:t>
      </w:r>
      <w:r>
        <w:rPr>
          <w:sz w:val="24"/>
          <w:szCs w:val="18"/>
        </w:rPr>
        <w:tab/>
      </w:r>
      <w:r>
        <w:rPr>
          <w:sz w:val="24"/>
          <w:szCs w:val="18"/>
        </w:rPr>
        <w:fldChar w:fldCharType="begin"/>
      </w:r>
      <w:r>
        <w:rPr>
          <w:sz w:val="24"/>
          <w:szCs w:val="18"/>
        </w:rPr>
        <w:instrText xml:space="preserve"> PAGEREF _Toc30139 </w:instrText>
      </w:r>
      <w:r>
        <w:rPr>
          <w:sz w:val="24"/>
          <w:szCs w:val="18"/>
        </w:rPr>
        <w:fldChar w:fldCharType="separate"/>
      </w:r>
      <w:r>
        <w:rPr>
          <w:sz w:val="24"/>
          <w:szCs w:val="18"/>
        </w:rPr>
        <w:t>38</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_Toc4373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4"/>
          <w:highlight w:val="none"/>
        </w:rPr>
        <w:t>附件二：</w:t>
      </w:r>
      <w:r>
        <w:rPr>
          <w:rFonts w:hint="eastAsia" w:ascii="仿宋" w:hAnsi="仿宋" w:eastAsia="仿宋" w:cs="仿宋"/>
          <w:snapToGrid w:val="0"/>
          <w:kern w:val="0"/>
          <w:sz w:val="24"/>
          <w:szCs w:val="24"/>
          <w:highlight w:val="none"/>
          <w:lang w:eastAsia="zh-CN"/>
        </w:rPr>
        <w:t>参选人</w:t>
      </w:r>
      <w:r>
        <w:rPr>
          <w:rFonts w:hint="eastAsia" w:ascii="仿宋" w:hAnsi="仿宋" w:eastAsia="仿宋" w:cs="仿宋"/>
          <w:snapToGrid w:val="0"/>
          <w:kern w:val="0"/>
          <w:sz w:val="24"/>
          <w:szCs w:val="24"/>
          <w:highlight w:val="none"/>
        </w:rPr>
        <w:t>报价表</w:t>
      </w:r>
      <w:r>
        <w:rPr>
          <w:sz w:val="24"/>
          <w:szCs w:val="18"/>
        </w:rPr>
        <w:tab/>
      </w:r>
      <w:r>
        <w:rPr>
          <w:sz w:val="24"/>
          <w:szCs w:val="18"/>
        </w:rPr>
        <w:fldChar w:fldCharType="begin"/>
      </w:r>
      <w:r>
        <w:rPr>
          <w:sz w:val="24"/>
          <w:szCs w:val="18"/>
        </w:rPr>
        <w:instrText xml:space="preserve"> PAGEREF _Toc4373 </w:instrText>
      </w:r>
      <w:r>
        <w:rPr>
          <w:sz w:val="24"/>
          <w:szCs w:val="18"/>
        </w:rPr>
        <w:fldChar w:fldCharType="separate"/>
      </w:r>
      <w:r>
        <w:rPr>
          <w:sz w:val="24"/>
          <w:szCs w:val="18"/>
        </w:rPr>
        <w:t>39</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_Toc16088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z w:val="24"/>
          <w:szCs w:val="24"/>
          <w:highlight w:val="none"/>
        </w:rPr>
        <w:t>附件三：技术偏离表</w:t>
      </w:r>
      <w:r>
        <w:rPr>
          <w:sz w:val="24"/>
          <w:szCs w:val="18"/>
        </w:rPr>
        <w:tab/>
      </w:r>
      <w:r>
        <w:rPr>
          <w:sz w:val="24"/>
          <w:szCs w:val="18"/>
        </w:rPr>
        <w:fldChar w:fldCharType="begin"/>
      </w:r>
      <w:r>
        <w:rPr>
          <w:sz w:val="24"/>
          <w:szCs w:val="18"/>
        </w:rPr>
        <w:instrText xml:space="preserve"> PAGEREF _Toc16088 </w:instrText>
      </w:r>
      <w:r>
        <w:rPr>
          <w:sz w:val="24"/>
          <w:szCs w:val="18"/>
        </w:rPr>
        <w:fldChar w:fldCharType="separate"/>
      </w:r>
      <w:r>
        <w:rPr>
          <w:sz w:val="24"/>
          <w:szCs w:val="18"/>
        </w:rPr>
        <w:t>40</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_Toc30924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4"/>
          <w:highlight w:val="none"/>
        </w:rPr>
        <w:t>附件四：参选承诺函</w:t>
      </w:r>
      <w:r>
        <w:rPr>
          <w:sz w:val="24"/>
          <w:szCs w:val="18"/>
        </w:rPr>
        <w:tab/>
      </w:r>
      <w:r>
        <w:rPr>
          <w:sz w:val="24"/>
          <w:szCs w:val="18"/>
        </w:rPr>
        <w:fldChar w:fldCharType="begin"/>
      </w:r>
      <w:r>
        <w:rPr>
          <w:sz w:val="24"/>
          <w:szCs w:val="18"/>
        </w:rPr>
        <w:instrText xml:space="preserve"> PAGEREF _Toc30924 </w:instrText>
      </w:r>
      <w:r>
        <w:rPr>
          <w:sz w:val="24"/>
          <w:szCs w:val="18"/>
        </w:rPr>
        <w:fldChar w:fldCharType="separate"/>
      </w:r>
      <w:r>
        <w:rPr>
          <w:sz w:val="24"/>
          <w:szCs w:val="18"/>
        </w:rPr>
        <w:t>41</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pStyle w:val="20"/>
        <w:tabs>
          <w:tab w:val="right" w:leader="dot" w:pos="8820"/>
          <w:tab w:val="clear" w:pos="630"/>
          <w:tab w:val="clear" w:pos="9277"/>
        </w:tabs>
        <w:rPr>
          <w:sz w:val="24"/>
          <w:szCs w:val="18"/>
        </w:rPr>
      </w:pPr>
      <w:r>
        <w:rPr>
          <w:rFonts w:hint="eastAsia" w:ascii="仿宋" w:hAnsi="仿宋" w:eastAsia="仿宋" w:cs="仿宋"/>
          <w:color w:val="auto"/>
          <w:spacing w:val="1"/>
          <w:kern w:val="0"/>
          <w:position w:val="-2"/>
          <w:sz w:val="24"/>
          <w:szCs w:val="18"/>
          <w:highlight w:val="none"/>
        </w:rPr>
        <w:fldChar w:fldCharType="begin"/>
      </w:r>
      <w:r>
        <w:rPr>
          <w:rFonts w:hint="eastAsia" w:ascii="仿宋" w:hAnsi="仿宋" w:eastAsia="仿宋" w:cs="仿宋"/>
          <w:spacing w:val="1"/>
          <w:kern w:val="0"/>
          <w:position w:val="-2"/>
          <w:sz w:val="24"/>
          <w:szCs w:val="18"/>
          <w:highlight w:val="none"/>
        </w:rPr>
        <w:instrText xml:space="preserve"> HYPERLINK \l _Toc31015 </w:instrText>
      </w:r>
      <w:r>
        <w:rPr>
          <w:rFonts w:hint="eastAsia" w:ascii="仿宋" w:hAnsi="仿宋" w:eastAsia="仿宋" w:cs="仿宋"/>
          <w:spacing w:val="1"/>
          <w:kern w:val="0"/>
          <w:position w:val="-2"/>
          <w:sz w:val="24"/>
          <w:szCs w:val="18"/>
          <w:highlight w:val="none"/>
        </w:rPr>
        <w:fldChar w:fldCharType="separate"/>
      </w:r>
      <w:r>
        <w:rPr>
          <w:rFonts w:hint="eastAsia" w:ascii="仿宋" w:hAnsi="仿宋" w:eastAsia="仿宋" w:cs="仿宋"/>
          <w:snapToGrid w:val="0"/>
          <w:kern w:val="0"/>
          <w:sz w:val="24"/>
          <w:szCs w:val="24"/>
          <w:highlight w:val="none"/>
        </w:rPr>
        <w:t>附件五：授权委托书</w:t>
      </w:r>
      <w:r>
        <w:rPr>
          <w:sz w:val="24"/>
          <w:szCs w:val="18"/>
        </w:rPr>
        <w:tab/>
      </w:r>
      <w:r>
        <w:rPr>
          <w:sz w:val="24"/>
          <w:szCs w:val="18"/>
        </w:rPr>
        <w:fldChar w:fldCharType="begin"/>
      </w:r>
      <w:r>
        <w:rPr>
          <w:sz w:val="24"/>
          <w:szCs w:val="18"/>
        </w:rPr>
        <w:instrText xml:space="preserve"> PAGEREF _Toc31015 </w:instrText>
      </w:r>
      <w:r>
        <w:rPr>
          <w:sz w:val="24"/>
          <w:szCs w:val="18"/>
        </w:rPr>
        <w:fldChar w:fldCharType="separate"/>
      </w:r>
      <w:r>
        <w:rPr>
          <w:sz w:val="24"/>
          <w:szCs w:val="18"/>
        </w:rPr>
        <w:t>42</w:t>
      </w:r>
      <w:r>
        <w:rPr>
          <w:sz w:val="24"/>
          <w:szCs w:val="18"/>
        </w:rPr>
        <w:fldChar w:fldCharType="end"/>
      </w:r>
      <w:r>
        <w:rPr>
          <w:rFonts w:hint="eastAsia" w:ascii="仿宋" w:hAnsi="仿宋" w:eastAsia="仿宋" w:cs="仿宋"/>
          <w:color w:val="auto"/>
          <w:spacing w:val="1"/>
          <w:kern w:val="0"/>
          <w:position w:val="-2"/>
          <w:sz w:val="24"/>
          <w:szCs w:val="18"/>
          <w:highlight w:val="none"/>
        </w:rPr>
        <w:fldChar w:fldCharType="end"/>
      </w:r>
    </w:p>
    <w:p>
      <w:pPr>
        <w:spacing w:line="360" w:lineRule="auto"/>
        <w:ind w:firstLine="4444" w:firstLineChars="2200"/>
        <w:rPr>
          <w:rFonts w:hint="eastAsia" w:ascii="仿宋" w:hAnsi="仿宋" w:eastAsia="仿宋" w:cs="仿宋"/>
          <w:color w:val="auto"/>
          <w:spacing w:val="1"/>
          <w:kern w:val="0"/>
          <w:position w:val="-2"/>
          <w:sz w:val="20"/>
          <w:szCs w:val="18"/>
          <w:highlight w:val="none"/>
        </w:rPr>
        <w:sectPr>
          <w:pgSz w:w="11906" w:h="16838"/>
          <w:pgMar w:top="1021" w:right="1466" w:bottom="623" w:left="1620" w:header="851" w:footer="992" w:gutter="0"/>
          <w:cols w:space="425" w:num="1"/>
          <w:titlePg/>
          <w:docGrid w:type="lines" w:linePitch="312" w:charSpace="0"/>
        </w:sectPr>
      </w:pPr>
      <w:r>
        <w:rPr>
          <w:rFonts w:hint="eastAsia" w:ascii="仿宋" w:hAnsi="仿宋" w:eastAsia="仿宋" w:cs="仿宋"/>
          <w:color w:val="auto"/>
          <w:spacing w:val="1"/>
          <w:kern w:val="0"/>
          <w:position w:val="-2"/>
          <w:sz w:val="20"/>
          <w:szCs w:val="18"/>
          <w:highlight w:val="none"/>
        </w:rPr>
        <w:fldChar w:fldCharType="end"/>
      </w:r>
    </w:p>
    <w:p>
      <w:pPr>
        <w:spacing w:line="360" w:lineRule="auto"/>
        <w:rPr>
          <w:rFonts w:ascii="仿宋" w:hAnsi="仿宋" w:eastAsia="仿宋" w:cs="仿宋"/>
          <w:color w:val="auto"/>
          <w:sz w:val="28"/>
          <w:szCs w:val="28"/>
          <w:highlight w:val="none"/>
        </w:rPr>
      </w:pPr>
    </w:p>
    <w:p>
      <w:pPr>
        <w:pStyle w:val="2"/>
        <w:snapToGrid w:val="0"/>
        <w:spacing w:before="0" w:line="360" w:lineRule="auto"/>
        <w:ind w:left="3107" w:hanging="3107"/>
        <w:jc w:val="center"/>
        <w:rPr>
          <w:rFonts w:ascii="仿宋" w:hAnsi="仿宋" w:eastAsia="仿宋" w:cs="仿宋"/>
          <w:snapToGrid w:val="0"/>
          <w:color w:val="auto"/>
          <w:kern w:val="0"/>
          <w:sz w:val="28"/>
          <w:szCs w:val="28"/>
          <w:highlight w:val="none"/>
        </w:rPr>
        <w:sectPr>
          <w:pgSz w:w="11906" w:h="16838"/>
          <w:pgMar w:top="1021" w:right="1466" w:bottom="623" w:left="1620" w:header="851" w:footer="992" w:gutter="0"/>
          <w:cols w:space="425" w:num="1"/>
          <w:titlePg/>
          <w:docGrid w:type="lines" w:linePitch="312" w:charSpace="0"/>
        </w:sectPr>
      </w:pPr>
      <w:bookmarkStart w:id="0" w:name="_Toc13728"/>
      <w:bookmarkStart w:id="1" w:name="_Toc9374"/>
    </w:p>
    <w:p>
      <w:pPr>
        <w:keepNext/>
        <w:keepLines/>
        <w:spacing w:before="340" w:after="330" w:line="360" w:lineRule="auto"/>
        <w:jc w:val="center"/>
        <w:outlineLvl w:val="0"/>
        <w:rPr>
          <w:rFonts w:hint="eastAsia" w:ascii="仿宋" w:hAnsi="仿宋" w:eastAsia="仿宋" w:cs="仿宋"/>
          <w:b/>
          <w:bCs/>
          <w:color w:val="000000"/>
          <w:kern w:val="44"/>
          <w:sz w:val="36"/>
          <w:szCs w:val="36"/>
          <w:highlight w:val="none"/>
          <w:lang w:eastAsia="zh-CN"/>
        </w:rPr>
      </w:pPr>
      <w:bookmarkStart w:id="2" w:name="_Toc29782"/>
      <w:bookmarkStart w:id="3" w:name="_Toc21592937"/>
      <w:bookmarkStart w:id="4" w:name="_Toc20223"/>
      <w:r>
        <w:rPr>
          <w:rFonts w:hint="eastAsia" w:ascii="仿宋" w:hAnsi="仿宋" w:eastAsia="仿宋" w:cs="仿宋"/>
          <w:b/>
          <w:bCs/>
          <w:color w:val="000000"/>
          <w:kern w:val="44"/>
          <w:sz w:val="36"/>
          <w:szCs w:val="36"/>
          <w:highlight w:val="none"/>
        </w:rPr>
        <w:t>比选</w:t>
      </w:r>
      <w:bookmarkEnd w:id="2"/>
      <w:bookmarkEnd w:id="3"/>
      <w:r>
        <w:rPr>
          <w:rFonts w:hint="eastAsia" w:ascii="仿宋" w:hAnsi="仿宋" w:eastAsia="仿宋" w:cs="仿宋"/>
          <w:b/>
          <w:bCs/>
          <w:color w:val="000000"/>
          <w:kern w:val="44"/>
          <w:sz w:val="36"/>
          <w:szCs w:val="36"/>
          <w:highlight w:val="none"/>
          <w:lang w:val="en-US" w:eastAsia="zh-CN"/>
        </w:rPr>
        <w:t>公告</w:t>
      </w:r>
      <w:bookmarkEnd w:id="4"/>
    </w:p>
    <w:p>
      <w:pPr>
        <w:rPr>
          <w:color w:val="auto"/>
          <w:sz w:val="28"/>
          <w:szCs w:val="20"/>
          <w:highlight w:val="none"/>
        </w:rPr>
      </w:pPr>
    </w:p>
    <w:p>
      <w:pPr>
        <w:tabs>
          <w:tab w:val="left" w:pos="1050"/>
          <w:tab w:val="left" w:pos="1470"/>
        </w:tabs>
        <w:spacing w:line="360" w:lineRule="auto"/>
        <w:ind w:left="-2" w:leftChars="-1" w:firstLine="560" w:firstLineChars="200"/>
        <w:rPr>
          <w:rFonts w:hint="eastAsia" w:ascii="仿宋" w:hAnsi="仿宋" w:eastAsia="仿宋" w:cs="仿宋"/>
          <w:bCs/>
          <w:color w:val="000000"/>
          <w:sz w:val="28"/>
          <w:szCs w:val="28"/>
          <w:highlight w:val="none"/>
          <w:u w:val="single"/>
          <w:lang w:val="en-US" w:eastAsia="zh-CN"/>
        </w:rPr>
      </w:pPr>
      <w:r>
        <w:rPr>
          <w:rFonts w:hint="eastAsia" w:ascii="仿宋" w:hAnsi="仿宋" w:eastAsia="仿宋" w:cs="仿宋"/>
          <w:bCs/>
          <w:color w:val="000000"/>
          <w:sz w:val="28"/>
          <w:szCs w:val="28"/>
          <w:highlight w:val="none"/>
          <w:u w:val="single"/>
          <w:lang w:val="en-US" w:eastAsia="zh-CN"/>
        </w:rPr>
        <w:t>各潜在供应商：</w:t>
      </w:r>
    </w:p>
    <w:p>
      <w:pPr>
        <w:tabs>
          <w:tab w:val="left" w:pos="1050"/>
          <w:tab w:val="left" w:pos="1470"/>
        </w:tabs>
        <w:spacing w:line="360" w:lineRule="auto"/>
        <w:ind w:left="-2" w:leftChars="-1" w:firstLine="560" w:firstLineChars="200"/>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重庆机电控股集团机电工程技术有限公司现面向社会公开征集</w:t>
      </w:r>
      <w:r>
        <w:rPr>
          <w:rFonts w:hint="eastAsia" w:ascii="仿宋" w:hAnsi="仿宋" w:eastAsia="仿宋" w:cs="仿宋"/>
          <w:color w:val="auto"/>
          <w:sz w:val="28"/>
          <w:szCs w:val="28"/>
          <w:highlight w:val="none"/>
          <w:lang w:eastAsia="zh-CN"/>
        </w:rPr>
        <w:t>重庆轨道交通</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号线二期工程（兴科大道～花石沟）</w:t>
      </w:r>
      <w:r>
        <w:rPr>
          <w:rFonts w:hint="eastAsia" w:ascii="仿宋" w:hAnsi="仿宋" w:eastAsia="仿宋" w:cs="仿宋"/>
          <w:color w:val="auto"/>
          <w:sz w:val="28"/>
          <w:szCs w:val="28"/>
          <w:highlight w:val="none"/>
        </w:rPr>
        <w:t>风水电系统</w:t>
      </w:r>
      <w:r>
        <w:rPr>
          <w:rFonts w:hint="eastAsia" w:ascii="仿宋" w:hAnsi="仿宋" w:eastAsia="仿宋" w:cs="仿宋"/>
          <w:bCs/>
          <w:color w:val="000000"/>
          <w:sz w:val="28"/>
          <w:szCs w:val="28"/>
          <w:highlight w:val="none"/>
          <w:lang w:val="en-US" w:eastAsia="zh-CN"/>
        </w:rPr>
        <w:t>区间箱</w:t>
      </w:r>
      <w:r>
        <w:rPr>
          <w:rFonts w:hint="eastAsia" w:ascii="仿宋" w:hAnsi="仿宋" w:eastAsia="仿宋" w:cs="仿宋"/>
          <w:bCs/>
          <w:color w:val="000000"/>
          <w:sz w:val="28"/>
          <w:szCs w:val="28"/>
          <w:highlight w:val="none"/>
        </w:rPr>
        <w:t>的合格供应商，欢迎具有良好经营业绩、实力雄厚、且有诚意的供应商踊跃报名</w:t>
      </w:r>
      <w:r>
        <w:rPr>
          <w:rFonts w:hint="eastAsia" w:ascii="仿宋" w:hAnsi="仿宋" w:eastAsia="仿宋" w:cs="仿宋"/>
          <w:bCs/>
          <w:color w:val="000000"/>
          <w:sz w:val="28"/>
          <w:szCs w:val="28"/>
          <w:highlight w:val="none"/>
          <w:lang w:val="en-US" w:eastAsia="zh-CN"/>
        </w:rPr>
        <w:t>参与比选</w:t>
      </w:r>
      <w:r>
        <w:rPr>
          <w:rFonts w:hint="eastAsia" w:ascii="仿宋" w:hAnsi="仿宋" w:eastAsia="仿宋" w:cs="仿宋"/>
          <w:bCs/>
          <w:color w:val="000000"/>
          <w:sz w:val="28"/>
          <w:szCs w:val="28"/>
          <w:highlight w:val="none"/>
        </w:rPr>
        <w:t>。现将有关具体事宜告知如下：</w:t>
      </w:r>
    </w:p>
    <w:p>
      <w:pPr>
        <w:numPr>
          <w:ilvl w:val="0"/>
          <w:numId w:val="0"/>
        </w:numPr>
        <w:tabs>
          <w:tab w:val="left" w:pos="1050"/>
          <w:tab w:val="left" w:pos="1470"/>
        </w:tabs>
        <w:spacing w:line="360" w:lineRule="auto"/>
        <w:ind w:leftChars="199"/>
        <w:jc w:val="left"/>
        <w:rPr>
          <w:rFonts w:hint="eastAsia" w:ascii="仿宋" w:hAnsi="仿宋" w:eastAsia="仿宋" w:cs="仿宋"/>
          <w:b/>
          <w:bCs w:val="0"/>
          <w:color w:val="000000"/>
          <w:sz w:val="28"/>
          <w:szCs w:val="28"/>
          <w:highlight w:val="none"/>
          <w:lang w:val="en-US" w:eastAsia="zh-CN"/>
        </w:rPr>
      </w:pPr>
      <w:r>
        <w:rPr>
          <w:rFonts w:hint="eastAsia" w:ascii="仿宋" w:hAnsi="仿宋" w:eastAsia="仿宋" w:cs="仿宋"/>
          <w:b/>
          <w:bCs w:val="0"/>
          <w:color w:val="000000"/>
          <w:sz w:val="28"/>
          <w:szCs w:val="28"/>
          <w:highlight w:val="none"/>
          <w:lang w:val="en-US" w:eastAsia="zh-CN"/>
        </w:rPr>
        <w:t>1、项目概况及比选范围：</w:t>
      </w:r>
    </w:p>
    <w:p>
      <w:pPr>
        <w:spacing w:line="360" w:lineRule="auto"/>
        <w:ind w:firstLine="607" w:firstLineChars="21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lang w:eastAsia="zh-CN"/>
        </w:rPr>
        <w:t>重庆轨道交通</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号线二期工程（兴科大道～花石沟）</w:t>
      </w:r>
      <w:r>
        <w:rPr>
          <w:rFonts w:hint="eastAsia" w:ascii="仿宋" w:hAnsi="仿宋" w:eastAsia="仿宋" w:cs="仿宋"/>
          <w:color w:val="auto"/>
          <w:sz w:val="28"/>
          <w:szCs w:val="28"/>
          <w:highlight w:val="none"/>
        </w:rPr>
        <w:t>风水电系统</w:t>
      </w:r>
      <w:r>
        <w:rPr>
          <w:rFonts w:hint="eastAsia" w:ascii="仿宋" w:hAnsi="仿宋" w:eastAsia="仿宋" w:cs="仿宋"/>
          <w:color w:val="auto"/>
          <w:sz w:val="28"/>
          <w:szCs w:val="28"/>
          <w:highlight w:val="none"/>
          <w:lang w:val="en-US" w:eastAsia="zh-CN"/>
        </w:rPr>
        <w:t>区间箱采购</w:t>
      </w:r>
      <w:r>
        <w:rPr>
          <w:rFonts w:hint="eastAsia" w:ascii="仿宋" w:hAnsi="仿宋" w:eastAsia="仿宋" w:cs="仿宋"/>
          <w:color w:val="auto"/>
          <w:sz w:val="28"/>
          <w:szCs w:val="28"/>
          <w:highlight w:val="none"/>
        </w:rPr>
        <w:t>。</w:t>
      </w:r>
    </w:p>
    <w:p>
      <w:pPr>
        <w:spacing w:line="360" w:lineRule="auto"/>
        <w:ind w:firstLine="607" w:firstLineChars="217"/>
        <w:rPr>
          <w:rFonts w:hint="eastAsia" w:ascii="仿宋" w:hAnsi="仿宋" w:eastAsia="仿宋" w:cs="仿宋"/>
          <w:bCs/>
          <w:color w:val="000000"/>
          <w:sz w:val="28"/>
          <w:szCs w:val="28"/>
          <w:highlight w:val="none"/>
          <w:lang w:val="en-US" w:eastAsia="zh-CN"/>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val="en-US" w:eastAsia="zh-CN"/>
        </w:rPr>
        <w:t>交货地点</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重庆轨道交通</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号线二期工程各站点（</w:t>
      </w:r>
      <w:r>
        <w:rPr>
          <w:rFonts w:hint="eastAsia" w:ascii="仿宋" w:hAnsi="仿宋" w:eastAsia="仿宋" w:cs="仿宋"/>
          <w:color w:val="auto"/>
          <w:sz w:val="28"/>
          <w:szCs w:val="28"/>
          <w:highlight w:val="none"/>
          <w:lang w:val="en-US" w:eastAsia="zh-CN"/>
        </w:rPr>
        <w:t>车板上交货</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p>
    <w:p>
      <w:pPr>
        <w:numPr>
          <w:ilvl w:val="0"/>
          <w:numId w:val="0"/>
        </w:numPr>
        <w:tabs>
          <w:tab w:val="left" w:pos="1050"/>
          <w:tab w:val="left" w:pos="1470"/>
        </w:tabs>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bCs/>
          <w:color w:val="000000"/>
          <w:sz w:val="28"/>
          <w:szCs w:val="28"/>
          <w:highlight w:val="none"/>
          <w:lang w:val="en-US" w:eastAsia="zh-CN"/>
        </w:rPr>
        <w:t>1.3比选范围：包括</w:t>
      </w:r>
      <w:r>
        <w:rPr>
          <w:rFonts w:hint="eastAsia" w:ascii="仿宋" w:hAnsi="仿宋" w:eastAsia="仿宋" w:cs="仿宋"/>
          <w:color w:val="auto"/>
          <w:sz w:val="28"/>
          <w:szCs w:val="28"/>
          <w:highlight w:val="none"/>
          <w:lang w:eastAsia="zh-CN"/>
        </w:rPr>
        <w:t>重庆轨道交通</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号线二期工程</w:t>
      </w:r>
      <w:r>
        <w:rPr>
          <w:rFonts w:hint="eastAsia" w:ascii="仿宋" w:hAnsi="仿宋" w:eastAsia="仿宋" w:cs="仿宋"/>
          <w:color w:val="auto"/>
          <w:sz w:val="28"/>
          <w:szCs w:val="28"/>
          <w:highlight w:val="none"/>
          <w:lang w:val="en-US" w:eastAsia="zh-CN"/>
        </w:rPr>
        <w:t>区间箱的供货及服务等所有工作内容，具体详见比选人提供的比选文件。</w:t>
      </w:r>
    </w:p>
    <w:p>
      <w:pPr>
        <w:numPr>
          <w:ilvl w:val="0"/>
          <w:numId w:val="0"/>
        </w:numPr>
        <w:tabs>
          <w:tab w:val="left" w:pos="1050"/>
          <w:tab w:val="left" w:pos="1470"/>
        </w:tabs>
        <w:spacing w:line="360" w:lineRule="auto"/>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1.4比选限价：</w:t>
      </w:r>
      <w:r>
        <w:rPr>
          <w:rFonts w:hint="eastAsia" w:ascii="仿宋" w:hAnsi="仿宋" w:eastAsia="仿宋" w:cs="仿宋"/>
          <w:color w:val="auto"/>
          <w:sz w:val="28"/>
          <w:szCs w:val="28"/>
          <w:highlight w:val="none"/>
          <w:u w:val="single"/>
          <w:lang w:val="en-US" w:eastAsia="zh-CN"/>
        </w:rPr>
        <w:t xml:space="preserve"> 921110.00</w:t>
      </w:r>
      <w:r>
        <w:rPr>
          <w:rFonts w:hint="eastAsia" w:ascii="仿宋" w:hAnsi="仿宋" w:eastAsia="仿宋" w:cs="仿宋"/>
          <w:color w:val="auto"/>
          <w:sz w:val="28"/>
          <w:szCs w:val="28"/>
          <w:highlight w:val="none"/>
          <w:lang w:val="en-US" w:eastAsia="zh-CN"/>
        </w:rPr>
        <w:t>元。</w:t>
      </w:r>
    </w:p>
    <w:p>
      <w:pPr>
        <w:numPr>
          <w:ilvl w:val="0"/>
          <w:numId w:val="0"/>
        </w:numPr>
        <w:tabs>
          <w:tab w:val="left" w:pos="1050"/>
          <w:tab w:val="left" w:pos="1470"/>
        </w:tabs>
        <w:spacing w:line="360" w:lineRule="auto"/>
        <w:ind w:leftChars="199"/>
        <w:jc w:val="left"/>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 xml:space="preserve"> 1.5供货周期：45日历天交货（具体排产时间以比选人书面通知为准）</w:t>
      </w:r>
    </w:p>
    <w:p>
      <w:pPr>
        <w:numPr>
          <w:ilvl w:val="0"/>
          <w:numId w:val="0"/>
        </w:numPr>
        <w:tabs>
          <w:tab w:val="left" w:pos="1050"/>
          <w:tab w:val="left" w:pos="1470"/>
        </w:tabs>
        <w:spacing w:line="360" w:lineRule="auto"/>
        <w:ind w:leftChars="199"/>
        <w:jc w:val="left"/>
        <w:rPr>
          <w:rFonts w:hint="default" w:ascii="仿宋" w:hAnsi="仿宋" w:eastAsia="仿宋" w:cs="仿宋"/>
          <w:b/>
          <w:bCs w:val="0"/>
          <w:color w:val="000000"/>
          <w:sz w:val="28"/>
          <w:szCs w:val="28"/>
          <w:highlight w:val="none"/>
          <w:lang w:val="en-US" w:eastAsia="zh-CN"/>
        </w:rPr>
      </w:pPr>
      <w:r>
        <w:rPr>
          <w:rFonts w:hint="eastAsia" w:ascii="仿宋" w:hAnsi="仿宋" w:eastAsia="仿宋" w:cs="仿宋"/>
          <w:b/>
          <w:bCs w:val="0"/>
          <w:color w:val="000000"/>
          <w:sz w:val="28"/>
          <w:szCs w:val="28"/>
          <w:highlight w:val="none"/>
          <w:lang w:val="en-US" w:eastAsia="zh-CN"/>
        </w:rPr>
        <w:t>2、参选人资格要求</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2.1 一般纳税人要求：</w:t>
      </w:r>
      <w:r>
        <w:rPr>
          <w:rFonts w:hint="eastAsia" w:ascii="仿宋" w:hAnsi="仿宋" w:eastAsia="仿宋" w:cs="仿宋"/>
          <w:color w:val="auto"/>
          <w:sz w:val="28"/>
          <w:szCs w:val="28"/>
          <w:highlight w:val="none"/>
        </w:rPr>
        <w:t>具有经税务部门注册登记核准的一般纳税人</w:t>
      </w:r>
      <w:r>
        <w:rPr>
          <w:rFonts w:hint="eastAsia" w:ascii="仿宋" w:hAnsi="仿宋" w:eastAsia="仿宋" w:cs="仿宋"/>
          <w:color w:val="auto"/>
          <w:sz w:val="28"/>
          <w:szCs w:val="28"/>
          <w:highlight w:val="none"/>
          <w:lang w:eastAsia="zh-CN"/>
        </w:rPr>
        <w:t>。</w:t>
      </w:r>
    </w:p>
    <w:p>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注册资金要求：1000万及以上（外资企业按折算成人民币后计算）。</w:t>
      </w:r>
    </w:p>
    <w:p>
      <w:pPr>
        <w:tabs>
          <w:tab w:val="left" w:pos="1050"/>
          <w:tab w:val="left" w:pos="1470"/>
        </w:tabs>
        <w:spacing w:line="360" w:lineRule="auto"/>
        <w:ind w:left="-2" w:leftChars="-1"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2.3 2017年1月1日起至今，参选人应提供至少一个轨道交通工程项目区间箱供货金额50万及以上的业绩，提交合同、中标通知书和竣工验收资料及其他证明材料。</w:t>
      </w:r>
    </w:p>
    <w:p>
      <w:pPr>
        <w:tabs>
          <w:tab w:val="left" w:pos="1050"/>
          <w:tab w:val="left" w:pos="1470"/>
        </w:tabs>
        <w:spacing w:line="360" w:lineRule="auto"/>
        <w:ind w:left="-2" w:leftChars="-1"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2.4 厂家具有省、部级及以上机关颁发的产品ccc认证。</w:t>
      </w:r>
    </w:p>
    <w:p>
      <w:pPr>
        <w:tabs>
          <w:tab w:val="left" w:pos="1050"/>
          <w:tab w:val="left" w:pos="1470"/>
        </w:tabs>
        <w:spacing w:line="360" w:lineRule="auto"/>
        <w:ind w:left="-2" w:leftChars="-1" w:firstLine="562" w:firstLineChars="200"/>
        <w:jc w:val="left"/>
        <w:rPr>
          <w:rFonts w:hint="default" w:ascii="仿宋" w:hAnsi="仿宋" w:eastAsia="仿宋" w:cs="仿宋"/>
          <w:b/>
          <w:bCs w:val="0"/>
          <w:color w:val="000000"/>
          <w:sz w:val="28"/>
          <w:szCs w:val="28"/>
          <w:highlight w:val="none"/>
          <w:lang w:val="en-US" w:eastAsia="zh-CN"/>
        </w:rPr>
      </w:pPr>
      <w:r>
        <w:rPr>
          <w:rFonts w:hint="eastAsia" w:ascii="仿宋" w:hAnsi="仿宋" w:eastAsia="仿宋" w:cs="仿宋"/>
          <w:b/>
          <w:bCs w:val="0"/>
          <w:color w:val="000000"/>
          <w:sz w:val="28"/>
          <w:szCs w:val="28"/>
          <w:highlight w:val="none"/>
          <w:lang w:val="en-US" w:eastAsia="zh-CN"/>
        </w:rPr>
        <w:t>3.比选文件的获取</w:t>
      </w:r>
    </w:p>
    <w:p>
      <w:pPr>
        <w:tabs>
          <w:tab w:val="left" w:pos="1050"/>
          <w:tab w:val="left" w:pos="1470"/>
        </w:tabs>
        <w:spacing w:line="360" w:lineRule="auto"/>
        <w:ind w:left="-2" w:leftChars="-1" w:firstLine="560" w:firstLineChars="200"/>
        <w:jc w:val="left"/>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凡有意参加比选者，请于</w:t>
      </w:r>
      <w:r>
        <w:rPr>
          <w:rFonts w:hint="eastAsia" w:ascii="仿宋" w:hAnsi="仿宋" w:eastAsia="仿宋" w:cs="仿宋"/>
          <w:bCs/>
          <w:color w:val="000000"/>
          <w:sz w:val="28"/>
          <w:szCs w:val="28"/>
          <w:highlight w:val="none"/>
          <w:u w:val="single"/>
        </w:rPr>
        <w:t xml:space="preserve"> 20</w:t>
      </w:r>
      <w:r>
        <w:rPr>
          <w:rFonts w:hint="eastAsia" w:ascii="仿宋" w:hAnsi="仿宋" w:eastAsia="仿宋" w:cs="仿宋"/>
          <w:bCs/>
          <w:color w:val="000000"/>
          <w:sz w:val="28"/>
          <w:szCs w:val="28"/>
          <w:highlight w:val="none"/>
          <w:u w:val="single"/>
          <w:lang w:val="en-US" w:eastAsia="zh-CN"/>
        </w:rPr>
        <w:t>21</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rPr>
        <w:t>年</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u w:val="single"/>
          <w:lang w:val="en-US" w:eastAsia="zh-CN"/>
        </w:rPr>
        <w:t>11</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u w:val="single"/>
          <w:lang w:val="en-US" w:eastAsia="zh-CN"/>
        </w:rPr>
        <w:t>25</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rPr>
        <w:t>日</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lang w:val="en-US" w:eastAsia="zh-CN"/>
        </w:rPr>
        <w:t>北京时间</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lang w:val="en-US" w:eastAsia="zh-CN"/>
        </w:rPr>
        <w:t>在“www.cme-cq.com”下载比选文件、图纸、清单、补充资料等全部内容。</w:t>
      </w:r>
    </w:p>
    <w:p>
      <w:pPr>
        <w:tabs>
          <w:tab w:val="left" w:pos="1050"/>
          <w:tab w:val="left" w:pos="1470"/>
        </w:tabs>
        <w:spacing w:line="360" w:lineRule="auto"/>
        <w:ind w:left="-2" w:leftChars="-1" w:firstLine="562" w:firstLineChars="200"/>
        <w:jc w:val="left"/>
        <w:rPr>
          <w:rFonts w:hint="default" w:ascii="仿宋" w:hAnsi="仿宋" w:eastAsia="仿宋" w:cs="仿宋"/>
          <w:b/>
          <w:bCs w:val="0"/>
          <w:color w:val="000000"/>
          <w:sz w:val="28"/>
          <w:szCs w:val="28"/>
          <w:highlight w:val="none"/>
          <w:lang w:val="en-US" w:eastAsia="zh-CN"/>
        </w:rPr>
      </w:pPr>
      <w:r>
        <w:rPr>
          <w:rFonts w:hint="eastAsia" w:ascii="仿宋" w:hAnsi="仿宋" w:eastAsia="仿宋" w:cs="仿宋"/>
          <w:b/>
          <w:bCs w:val="0"/>
          <w:color w:val="000000"/>
          <w:sz w:val="28"/>
          <w:szCs w:val="28"/>
          <w:highlight w:val="none"/>
          <w:lang w:val="en-US" w:eastAsia="zh-CN"/>
        </w:rPr>
        <w:t>4.参选文件的递交</w:t>
      </w:r>
    </w:p>
    <w:p>
      <w:pPr>
        <w:tabs>
          <w:tab w:val="left" w:pos="1050"/>
          <w:tab w:val="left" w:pos="1470"/>
        </w:tabs>
        <w:spacing w:line="360" w:lineRule="auto"/>
        <w:ind w:firstLine="560" w:firstLineChars="200"/>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4.1参选文件递交截止时间</w:t>
      </w:r>
      <w:r>
        <w:rPr>
          <w:rFonts w:hint="eastAsia" w:ascii="仿宋" w:hAnsi="仿宋" w:eastAsia="仿宋" w:cs="仿宋"/>
          <w:bCs/>
          <w:color w:val="000000"/>
          <w:sz w:val="28"/>
          <w:szCs w:val="28"/>
          <w:highlight w:val="none"/>
          <w:u w:val="single"/>
        </w:rPr>
        <w:t>20</w:t>
      </w:r>
      <w:r>
        <w:rPr>
          <w:rFonts w:hint="eastAsia" w:ascii="仿宋" w:hAnsi="仿宋" w:eastAsia="仿宋" w:cs="仿宋"/>
          <w:bCs/>
          <w:color w:val="000000"/>
          <w:sz w:val="28"/>
          <w:szCs w:val="28"/>
          <w:highlight w:val="none"/>
          <w:u w:val="single"/>
          <w:lang w:val="en-US" w:eastAsia="zh-CN"/>
        </w:rPr>
        <w:t>21</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rPr>
        <w:t>年</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u w:val="single"/>
          <w:lang w:val="en-US" w:eastAsia="zh-CN"/>
        </w:rPr>
        <w:t>12</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u w:val="single"/>
          <w:lang w:val="en-US" w:eastAsia="zh-CN"/>
        </w:rPr>
        <w:t>1</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rPr>
        <w:t>日</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u w:val="single"/>
          <w:lang w:val="en-US" w:eastAsia="zh-CN"/>
        </w:rPr>
        <w:t>11：00</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rPr>
        <w:t>时</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lang w:val="en-US" w:eastAsia="zh-CN"/>
        </w:rPr>
        <w:t>北京时间</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rPr>
        <w:t>地点：重庆市北部新区黄山大道中段信达国际A座17</w:t>
      </w:r>
      <w:r>
        <w:rPr>
          <w:rFonts w:hint="eastAsia" w:ascii="仿宋" w:hAnsi="仿宋" w:eastAsia="仿宋" w:cs="仿宋"/>
          <w:bCs/>
          <w:color w:val="000000"/>
          <w:sz w:val="28"/>
          <w:szCs w:val="28"/>
          <w:highlight w:val="none"/>
          <w:lang w:val="en-US" w:eastAsia="zh-CN"/>
        </w:rPr>
        <w:t>楼1715室。</w:t>
      </w:r>
    </w:p>
    <w:p>
      <w:pPr>
        <w:tabs>
          <w:tab w:val="left" w:pos="1050"/>
          <w:tab w:val="left" w:pos="1470"/>
        </w:tabs>
        <w:spacing w:line="360" w:lineRule="auto"/>
        <w:ind w:firstLine="560" w:firstLineChars="200"/>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4.2逾期送达的或者未送达指定地点的参选文件，比选人不予受理。</w:t>
      </w:r>
    </w:p>
    <w:p>
      <w:pPr>
        <w:tabs>
          <w:tab w:val="left" w:pos="1050"/>
          <w:tab w:val="left" w:pos="1470"/>
        </w:tabs>
        <w:spacing w:line="360" w:lineRule="auto"/>
        <w:ind w:firstLine="562" w:firstLineChars="200"/>
        <w:rPr>
          <w:rFonts w:hint="default" w:ascii="仿宋" w:hAnsi="仿宋" w:eastAsia="仿宋" w:cs="仿宋"/>
          <w:b/>
          <w:bCs w:val="0"/>
          <w:color w:val="000000"/>
          <w:sz w:val="28"/>
          <w:szCs w:val="28"/>
          <w:highlight w:val="none"/>
          <w:lang w:val="en-US" w:eastAsia="zh-CN"/>
        </w:rPr>
      </w:pPr>
      <w:r>
        <w:rPr>
          <w:rFonts w:hint="eastAsia" w:ascii="仿宋" w:hAnsi="仿宋" w:eastAsia="仿宋" w:cs="仿宋"/>
          <w:b/>
          <w:bCs w:val="0"/>
          <w:color w:val="000000"/>
          <w:sz w:val="28"/>
          <w:szCs w:val="28"/>
          <w:highlight w:val="none"/>
          <w:lang w:val="en-US" w:eastAsia="zh-CN"/>
        </w:rPr>
        <w:t>5.发布公告的媒介</w:t>
      </w:r>
    </w:p>
    <w:p>
      <w:pPr>
        <w:tabs>
          <w:tab w:val="left" w:pos="1050"/>
          <w:tab w:val="left" w:pos="1470"/>
        </w:tabs>
        <w:spacing w:line="360" w:lineRule="auto"/>
        <w:ind w:firstLine="560" w:firstLineChars="200"/>
        <w:rPr>
          <w:rFonts w:hint="eastAsia" w:ascii="仿宋" w:hAnsi="仿宋" w:eastAsia="仿宋" w:cs="仿宋"/>
          <w:bCs/>
          <w:color w:val="000000"/>
          <w:sz w:val="28"/>
          <w:szCs w:val="28"/>
          <w:highlight w:val="none"/>
          <w:u w:val="single"/>
        </w:rPr>
      </w:pPr>
      <w:r>
        <w:rPr>
          <w:rFonts w:hint="eastAsia" w:ascii="仿宋" w:hAnsi="仿宋" w:eastAsia="仿宋" w:cs="仿宋"/>
          <w:bCs/>
          <w:color w:val="000000"/>
          <w:sz w:val="28"/>
          <w:szCs w:val="28"/>
          <w:highlight w:val="none"/>
          <w:lang w:val="en-US" w:eastAsia="zh-CN"/>
        </w:rPr>
        <w:t>本次比选文件公告在</w:t>
      </w:r>
      <w:r>
        <w:rPr>
          <w:rFonts w:hint="eastAsia" w:ascii="仿宋" w:hAnsi="仿宋" w:eastAsia="仿宋" w:cs="仿宋"/>
          <w:bCs/>
          <w:color w:val="000000"/>
          <w:sz w:val="28"/>
          <w:szCs w:val="28"/>
          <w:highlight w:val="none"/>
          <w:u w:val="single"/>
          <w:lang w:val="en-US" w:eastAsia="zh-CN"/>
        </w:rPr>
        <w:t>重庆机电控股（集团）公司官方网站“www.cme-cq.com”发布。</w:t>
      </w:r>
    </w:p>
    <w:p>
      <w:pPr>
        <w:tabs>
          <w:tab w:val="left" w:pos="1050"/>
          <w:tab w:val="left" w:pos="1470"/>
        </w:tabs>
        <w:spacing w:line="360" w:lineRule="auto"/>
        <w:ind w:firstLine="562" w:firstLineChars="200"/>
        <w:rPr>
          <w:rFonts w:hint="default" w:ascii="仿宋" w:hAnsi="仿宋" w:eastAsia="仿宋" w:cs="仿宋"/>
          <w:b/>
          <w:bCs w:val="0"/>
          <w:color w:val="000000"/>
          <w:sz w:val="28"/>
          <w:szCs w:val="28"/>
          <w:highlight w:val="none"/>
          <w:lang w:val="en-US" w:eastAsia="zh-CN"/>
        </w:rPr>
      </w:pPr>
      <w:r>
        <w:rPr>
          <w:rFonts w:hint="eastAsia" w:ascii="仿宋" w:hAnsi="仿宋" w:eastAsia="仿宋" w:cs="仿宋"/>
          <w:b/>
          <w:bCs w:val="0"/>
          <w:color w:val="000000"/>
          <w:sz w:val="28"/>
          <w:szCs w:val="28"/>
          <w:highlight w:val="none"/>
          <w:lang w:val="en-US" w:eastAsia="zh-CN"/>
        </w:rPr>
        <w:t>6.联系方式</w:t>
      </w:r>
    </w:p>
    <w:p>
      <w:pPr>
        <w:numPr>
          <w:ilvl w:val="0"/>
          <w:numId w:val="0"/>
        </w:numPr>
        <w:tabs>
          <w:tab w:val="left" w:pos="1050"/>
          <w:tab w:val="left" w:pos="1470"/>
        </w:tabs>
        <w:spacing w:line="360" w:lineRule="auto"/>
        <w:ind w:firstLine="1120" w:firstLineChars="400"/>
        <w:rPr>
          <w:rFonts w:hint="default" w:ascii="仿宋" w:hAnsi="仿宋" w:eastAsia="仿宋" w:cs="仿宋"/>
          <w:bCs/>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王蕾 18602383621              </w:t>
      </w:r>
      <w:r>
        <w:rPr>
          <w:rFonts w:hint="eastAsia" w:ascii="仿宋" w:hAnsi="仿宋" w:eastAsia="仿宋" w:cs="仿宋"/>
          <w:color w:val="000000"/>
          <w:sz w:val="28"/>
          <w:szCs w:val="28"/>
          <w:highlight w:val="none"/>
        </w:rPr>
        <w:t>周鹏  18580555345</w:t>
      </w:r>
      <w:r>
        <w:rPr>
          <w:rFonts w:hint="eastAsia" w:ascii="仿宋" w:hAnsi="仿宋" w:eastAsia="仿宋" w:cs="仿宋"/>
          <w:color w:val="000000"/>
          <w:sz w:val="28"/>
          <w:szCs w:val="28"/>
          <w:highlight w:val="none"/>
          <w:lang w:val="en-US" w:eastAsia="zh-CN"/>
        </w:rPr>
        <w:t xml:space="preserve"> </w:t>
      </w:r>
    </w:p>
    <w:p>
      <w:pPr>
        <w:tabs>
          <w:tab w:val="left" w:pos="1050"/>
          <w:tab w:val="left" w:pos="1470"/>
        </w:tabs>
        <w:spacing w:line="360" w:lineRule="auto"/>
        <w:ind w:left="-2" w:leftChars="-1" w:firstLine="840" w:firstLineChars="300"/>
        <w:rPr>
          <w:rFonts w:ascii="仿宋" w:hAnsi="仿宋" w:eastAsia="仿宋" w:cs="仿宋"/>
          <w:bCs/>
          <w:color w:val="000000"/>
          <w:sz w:val="28"/>
          <w:szCs w:val="28"/>
          <w:highlight w:val="none"/>
        </w:rPr>
      </w:pPr>
      <w:r>
        <w:rPr>
          <w:rFonts w:hint="eastAsia" w:ascii="仿宋" w:hAnsi="仿宋" w:eastAsia="仿宋" w:cs="仿宋"/>
          <w:color w:val="000000"/>
          <w:sz w:val="28"/>
          <w:szCs w:val="28"/>
          <w:highlight w:val="none"/>
        </w:rPr>
        <w:t xml:space="preserve"> E-mail：</w:t>
      </w:r>
      <w:r>
        <w:rPr>
          <w:rFonts w:hint="eastAsia" w:ascii="仿宋" w:hAnsi="仿宋" w:eastAsia="仿宋" w:cs="仿宋"/>
          <w:bCs/>
          <w:color w:val="000000"/>
          <w:sz w:val="28"/>
          <w:szCs w:val="28"/>
          <w:highlight w:val="none"/>
          <w:lang w:val="en-US" w:eastAsia="zh-CN"/>
        </w:rPr>
        <w:fldChar w:fldCharType="begin"/>
      </w:r>
      <w:r>
        <w:rPr>
          <w:rFonts w:hint="eastAsia" w:ascii="仿宋" w:hAnsi="仿宋" w:eastAsia="仿宋" w:cs="仿宋"/>
          <w:bCs/>
          <w:color w:val="000000"/>
          <w:sz w:val="28"/>
          <w:szCs w:val="28"/>
          <w:highlight w:val="none"/>
          <w:lang w:val="en-US" w:eastAsia="zh-CN"/>
        </w:rPr>
        <w:instrText xml:space="preserve"> HYPERLINK "mailto:wanglei@cme-gc.com" </w:instrText>
      </w:r>
      <w:r>
        <w:rPr>
          <w:rFonts w:hint="eastAsia" w:ascii="仿宋" w:hAnsi="仿宋" w:eastAsia="仿宋" w:cs="仿宋"/>
          <w:bCs/>
          <w:color w:val="000000"/>
          <w:sz w:val="28"/>
          <w:szCs w:val="28"/>
          <w:highlight w:val="none"/>
          <w:lang w:val="en-US" w:eastAsia="zh-CN"/>
        </w:rPr>
        <w:fldChar w:fldCharType="separate"/>
      </w:r>
      <w:r>
        <w:rPr>
          <w:rFonts w:hint="eastAsia" w:ascii="仿宋" w:hAnsi="仿宋" w:eastAsia="仿宋" w:cs="仿宋"/>
          <w:bCs/>
          <w:color w:val="000000"/>
          <w:sz w:val="28"/>
          <w:szCs w:val="28"/>
          <w:highlight w:val="none"/>
          <w:lang w:val="en-US" w:eastAsia="zh-CN"/>
        </w:rPr>
        <w:t>wanglei</w:t>
      </w:r>
      <w:r>
        <w:rPr>
          <w:rFonts w:hint="eastAsia" w:ascii="仿宋" w:hAnsi="仿宋" w:eastAsia="仿宋" w:cs="仿宋"/>
          <w:bCs/>
          <w:color w:val="000000"/>
          <w:sz w:val="28"/>
          <w:szCs w:val="28"/>
          <w:highlight w:val="none"/>
        </w:rPr>
        <w:t>@cme-gc.com</w:t>
      </w:r>
      <w:r>
        <w:rPr>
          <w:rFonts w:hint="eastAsia" w:ascii="仿宋" w:hAnsi="仿宋" w:eastAsia="仿宋" w:cs="仿宋"/>
          <w:bCs/>
          <w:color w:val="000000"/>
          <w:sz w:val="28"/>
          <w:szCs w:val="28"/>
          <w:highlight w:val="none"/>
          <w:lang w:val="en-US" w:eastAsia="zh-CN"/>
        </w:rPr>
        <w:fldChar w:fldCharType="end"/>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bCs/>
          <w:color w:val="000000"/>
          <w:sz w:val="28"/>
          <w:szCs w:val="28"/>
          <w:highlight w:val="none"/>
          <w:lang w:val="en-US" w:eastAsia="zh-CN"/>
        </w:rPr>
        <w:t>zhoupeng@cme-gc.com</w:t>
      </w:r>
    </w:p>
    <w:p>
      <w:pPr>
        <w:tabs>
          <w:tab w:val="left" w:pos="1050"/>
          <w:tab w:val="left" w:pos="1470"/>
        </w:tabs>
        <w:spacing w:line="360" w:lineRule="auto"/>
        <w:ind w:left="-2" w:leftChars="-1" w:firstLine="560" w:firstLineChars="200"/>
        <w:rPr>
          <w:rFonts w:ascii="仿宋" w:hAnsi="仿宋" w:eastAsia="仿宋" w:cs="仿宋"/>
          <w:color w:val="000000"/>
          <w:sz w:val="28"/>
          <w:szCs w:val="28"/>
          <w:highlight w:val="none"/>
        </w:rPr>
      </w:pPr>
    </w:p>
    <w:p>
      <w:pPr>
        <w:spacing w:line="360" w:lineRule="auto"/>
        <w:ind w:left="560"/>
        <w:rPr>
          <w:rFonts w:ascii="仿宋" w:hAnsi="仿宋" w:eastAsia="仿宋" w:cs="仿宋"/>
          <w:color w:val="000000"/>
          <w:sz w:val="28"/>
          <w:szCs w:val="28"/>
          <w:highlight w:val="none"/>
        </w:rPr>
      </w:pPr>
    </w:p>
    <w:p>
      <w:pPr>
        <w:spacing w:line="360" w:lineRule="auto"/>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重庆机电控股集团机电工程技术有限公司</w:t>
      </w:r>
    </w:p>
    <w:p>
      <w:pPr>
        <w:spacing w:line="360" w:lineRule="auto"/>
        <w:ind w:left="420" w:leftChars="200" w:firstLine="2100" w:firstLineChars="750"/>
        <w:jc w:val="left"/>
        <w:rPr>
          <w:rFonts w:ascii="仿宋" w:hAnsi="仿宋" w:eastAsia="仿宋" w:cs="仿宋"/>
          <w:color w:val="000000"/>
          <w:sz w:val="28"/>
          <w:szCs w:val="28"/>
          <w:highlight w:val="none"/>
        </w:rPr>
      </w:pPr>
      <w:r>
        <w:rPr>
          <w:rFonts w:hint="eastAsia" w:ascii="仿宋" w:hAnsi="仿宋" w:eastAsia="仿宋" w:cs="仿宋"/>
          <w:bCs/>
          <w:color w:val="000000"/>
          <w:sz w:val="28"/>
          <w:szCs w:val="28"/>
          <w:highlight w:val="none"/>
        </w:rPr>
        <w:t xml:space="preserve">                         二○二</w:t>
      </w:r>
      <w:r>
        <w:rPr>
          <w:rFonts w:hint="eastAsia" w:ascii="仿宋" w:hAnsi="仿宋" w:eastAsia="仿宋" w:cs="仿宋"/>
          <w:bCs/>
          <w:color w:val="000000"/>
          <w:sz w:val="28"/>
          <w:szCs w:val="28"/>
          <w:highlight w:val="none"/>
          <w:lang w:val="en-US" w:eastAsia="zh-CN"/>
        </w:rPr>
        <w:t>一</w:t>
      </w:r>
      <w:r>
        <w:rPr>
          <w:rFonts w:hint="eastAsia" w:ascii="仿宋" w:hAnsi="仿宋" w:eastAsia="仿宋" w:cs="仿宋"/>
          <w:bCs/>
          <w:color w:val="000000"/>
          <w:sz w:val="28"/>
          <w:szCs w:val="28"/>
          <w:highlight w:val="none"/>
        </w:rPr>
        <w:t>年</w:t>
      </w:r>
      <w:r>
        <w:rPr>
          <w:rFonts w:hint="eastAsia" w:ascii="仿宋" w:hAnsi="仿宋" w:eastAsia="仿宋" w:cs="仿宋"/>
          <w:bCs/>
          <w:color w:val="000000"/>
          <w:sz w:val="28"/>
          <w:szCs w:val="28"/>
          <w:highlight w:val="none"/>
          <w:lang w:val="en-US" w:eastAsia="zh-CN"/>
        </w:rPr>
        <w:t>十一</w:t>
      </w:r>
      <w:r>
        <w:rPr>
          <w:rFonts w:hint="eastAsia" w:ascii="仿宋" w:hAnsi="仿宋" w:eastAsia="仿宋" w:cs="仿宋"/>
          <w:bCs/>
          <w:color w:val="000000"/>
          <w:sz w:val="28"/>
          <w:szCs w:val="28"/>
          <w:highlight w:val="none"/>
        </w:rPr>
        <w:t>月</w:t>
      </w:r>
    </w:p>
    <w:p>
      <w:pPr>
        <w:rPr>
          <w:rFonts w:ascii="仿宋" w:hAnsi="仿宋" w:eastAsia="仿宋" w:cs="仿宋"/>
          <w:snapToGrid w:val="0"/>
          <w:color w:val="auto"/>
          <w:kern w:val="0"/>
          <w:sz w:val="32"/>
          <w:szCs w:val="32"/>
          <w:highlight w:val="none"/>
        </w:rPr>
      </w:pPr>
      <w:r>
        <w:rPr>
          <w:rFonts w:hint="eastAsia" w:ascii="仿宋" w:hAnsi="仿宋" w:eastAsia="仿宋" w:cs="仿宋"/>
          <w:snapToGrid w:val="0"/>
          <w:color w:val="auto"/>
          <w:kern w:val="0"/>
          <w:sz w:val="32"/>
          <w:szCs w:val="32"/>
          <w:highlight w:val="none"/>
        </w:rPr>
        <w:br w:type="page"/>
      </w:r>
    </w:p>
    <w:p>
      <w:pPr>
        <w:pStyle w:val="2"/>
        <w:snapToGrid w:val="0"/>
        <w:spacing w:before="0" w:line="360" w:lineRule="auto"/>
        <w:jc w:val="center"/>
        <w:rPr>
          <w:rFonts w:ascii="仿宋" w:hAnsi="仿宋" w:eastAsia="仿宋" w:cs="仿宋"/>
          <w:b w:val="0"/>
          <w:color w:val="auto"/>
          <w:sz w:val="32"/>
          <w:szCs w:val="32"/>
          <w:highlight w:val="none"/>
        </w:rPr>
      </w:pPr>
      <w:bookmarkStart w:id="5" w:name="_Toc26243"/>
      <w:bookmarkStart w:id="6" w:name="_Toc4556"/>
      <w:r>
        <w:rPr>
          <w:rFonts w:hint="eastAsia" w:ascii="仿宋" w:hAnsi="仿宋" w:eastAsia="仿宋" w:cs="仿宋"/>
          <w:snapToGrid w:val="0"/>
          <w:color w:val="auto"/>
          <w:kern w:val="0"/>
          <w:sz w:val="32"/>
          <w:szCs w:val="32"/>
          <w:highlight w:val="none"/>
        </w:rPr>
        <w:t xml:space="preserve">第一部分 </w:t>
      </w:r>
      <w:r>
        <w:rPr>
          <w:rFonts w:hint="eastAsia" w:ascii="仿宋" w:hAnsi="仿宋" w:eastAsia="仿宋" w:cs="仿宋"/>
          <w:snapToGrid w:val="0"/>
          <w:color w:val="auto"/>
          <w:kern w:val="0"/>
          <w:sz w:val="32"/>
          <w:szCs w:val="32"/>
          <w:highlight w:val="none"/>
          <w:lang w:eastAsia="zh-CN"/>
        </w:rPr>
        <w:t>参选人</w:t>
      </w:r>
      <w:r>
        <w:rPr>
          <w:rFonts w:hint="eastAsia" w:ascii="仿宋" w:hAnsi="仿宋" w:eastAsia="仿宋" w:cs="仿宋"/>
          <w:snapToGrid w:val="0"/>
          <w:color w:val="auto"/>
          <w:kern w:val="0"/>
          <w:sz w:val="32"/>
          <w:szCs w:val="32"/>
          <w:highlight w:val="none"/>
        </w:rPr>
        <w:t>须知</w:t>
      </w:r>
      <w:bookmarkEnd w:id="0"/>
      <w:bookmarkEnd w:id="1"/>
      <w:bookmarkEnd w:id="5"/>
      <w:bookmarkEnd w:id="6"/>
    </w:p>
    <w:p>
      <w:pPr>
        <w:pStyle w:val="4"/>
        <w:spacing w:line="360" w:lineRule="auto"/>
        <w:rPr>
          <w:rFonts w:ascii="仿宋" w:hAnsi="仿宋" w:eastAsia="仿宋" w:cs="仿宋"/>
          <w:color w:val="auto"/>
          <w:sz w:val="28"/>
          <w:szCs w:val="28"/>
          <w:highlight w:val="none"/>
        </w:rPr>
      </w:pPr>
      <w:bookmarkStart w:id="7" w:name="_Toc9959"/>
      <w:bookmarkStart w:id="8" w:name="_Toc4093"/>
      <w:bookmarkStart w:id="9" w:name="_Toc6707"/>
      <w:bookmarkStart w:id="10" w:name="_Toc1012"/>
      <w:r>
        <w:rPr>
          <w:rFonts w:hint="eastAsia" w:ascii="仿宋" w:hAnsi="仿宋" w:eastAsia="仿宋" w:cs="仿宋"/>
          <w:color w:val="auto"/>
          <w:sz w:val="28"/>
          <w:szCs w:val="28"/>
          <w:highlight w:val="none"/>
        </w:rPr>
        <w:t>1.</w:t>
      </w:r>
      <w:bookmarkEnd w:id="7"/>
      <w:bookmarkEnd w:id="8"/>
      <w:bookmarkEnd w:id="9"/>
      <w:bookmarkEnd w:id="10"/>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资格要求</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 一般纳税人要求：</w:t>
      </w:r>
      <w:r>
        <w:rPr>
          <w:rFonts w:hint="eastAsia" w:ascii="仿宋" w:hAnsi="仿宋" w:eastAsia="仿宋" w:cs="仿宋"/>
          <w:color w:val="auto"/>
          <w:sz w:val="28"/>
          <w:szCs w:val="28"/>
          <w:highlight w:val="none"/>
        </w:rPr>
        <w:t>具有经税务部门注册登记核准的一般纳税人</w:t>
      </w:r>
      <w:r>
        <w:rPr>
          <w:rFonts w:hint="eastAsia" w:ascii="仿宋" w:hAnsi="仿宋" w:eastAsia="仿宋" w:cs="仿宋"/>
          <w:color w:val="auto"/>
          <w:sz w:val="28"/>
          <w:szCs w:val="28"/>
          <w:highlight w:val="none"/>
          <w:lang w:eastAsia="zh-CN"/>
        </w:rPr>
        <w:t>。</w:t>
      </w:r>
    </w:p>
    <w:p>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 注册资金要求：1000万及以上（外资企业按折算成人民币后计算）。</w:t>
      </w:r>
    </w:p>
    <w:p>
      <w:pPr>
        <w:tabs>
          <w:tab w:val="left" w:pos="1050"/>
          <w:tab w:val="left" w:pos="1470"/>
        </w:tabs>
        <w:spacing w:line="360" w:lineRule="auto"/>
        <w:ind w:left="-2" w:leftChars="-1"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 2017年1月1日起至今，参选人应提供至少一个轨道交通工程项目区间箱供货金额50万及以上的业绩，提交合同、中标通知书和竣工验收资料及其他证明材料。</w:t>
      </w:r>
    </w:p>
    <w:p>
      <w:pPr>
        <w:tabs>
          <w:tab w:val="left" w:pos="1050"/>
          <w:tab w:val="left" w:pos="1470"/>
        </w:tabs>
        <w:spacing w:line="360" w:lineRule="auto"/>
        <w:ind w:left="-2" w:leftChars="-1"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 厂家具有省、部级及以上机关颁发的产品ccc认证。</w:t>
      </w:r>
    </w:p>
    <w:p>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参选</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一切有关的费用，均由参选</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 xml:space="preserve">自理。 </w:t>
      </w:r>
    </w:p>
    <w:p>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参比</w:t>
      </w:r>
      <w:r>
        <w:rPr>
          <w:rFonts w:hint="eastAsia" w:ascii="仿宋" w:hAnsi="仿宋" w:eastAsia="仿宋" w:cs="仿宋"/>
          <w:color w:val="auto"/>
          <w:sz w:val="28"/>
          <w:szCs w:val="28"/>
          <w:highlight w:val="none"/>
          <w:lang w:val="en-US" w:eastAsia="zh-CN"/>
        </w:rPr>
        <w:t>文件</w:t>
      </w:r>
      <w:r>
        <w:rPr>
          <w:rFonts w:hint="eastAsia" w:ascii="仿宋" w:hAnsi="仿宋" w:eastAsia="仿宋" w:cs="仿宋"/>
          <w:color w:val="auto"/>
          <w:sz w:val="28"/>
          <w:szCs w:val="28"/>
          <w:highlight w:val="none"/>
        </w:rPr>
        <w:t>应整洁,字迹清晰, 并装订成册。</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 xml:space="preserve"> 若对比选文件有异议，请</w:t>
      </w:r>
      <w:r>
        <w:rPr>
          <w:rFonts w:hint="eastAsia" w:ascii="仿宋" w:hAnsi="仿宋" w:eastAsia="仿宋" w:cs="仿宋"/>
          <w:color w:val="auto"/>
          <w:sz w:val="28"/>
          <w:szCs w:val="28"/>
          <w:highlight w:val="none"/>
          <w:lang w:eastAsia="zh-CN"/>
        </w:rPr>
        <w:t>比选文件提交前提前</w:t>
      </w:r>
      <w:r>
        <w:rPr>
          <w:rFonts w:hint="eastAsia" w:ascii="仿宋" w:hAnsi="仿宋" w:eastAsia="仿宋" w:cs="仿宋"/>
          <w:color w:val="auto"/>
          <w:sz w:val="28"/>
          <w:szCs w:val="28"/>
          <w:highlight w:val="none"/>
          <w:lang w:val="en-US" w:eastAsia="zh-CN"/>
        </w:rPr>
        <w:t>1天提质疑，</w:t>
      </w:r>
      <w:r>
        <w:rPr>
          <w:rFonts w:hint="eastAsia" w:ascii="仿宋" w:hAnsi="仿宋" w:eastAsia="仿宋" w:cs="仿宋"/>
          <w:color w:val="auto"/>
          <w:sz w:val="28"/>
          <w:szCs w:val="28"/>
          <w:highlight w:val="none"/>
        </w:rPr>
        <w:t>与</w:t>
      </w:r>
      <w:r>
        <w:rPr>
          <w:rFonts w:hint="eastAsia" w:ascii="仿宋" w:hAnsi="仿宋" w:eastAsia="仿宋" w:cs="仿宋"/>
          <w:color w:val="000000"/>
          <w:sz w:val="28"/>
          <w:szCs w:val="28"/>
          <w:highlight w:val="none"/>
          <w:lang w:val="en-US" w:eastAsia="zh-CN"/>
        </w:rPr>
        <w:t xml:space="preserve">王蕾 18602383621 </w:t>
      </w:r>
      <w:r>
        <w:rPr>
          <w:rFonts w:hint="eastAsia" w:ascii="仿宋" w:hAnsi="仿宋" w:eastAsia="仿宋" w:cs="仿宋"/>
          <w:color w:val="auto"/>
          <w:sz w:val="28"/>
          <w:szCs w:val="28"/>
          <w:highlight w:val="none"/>
        </w:rPr>
        <w:t>周鹏联系电话：18580555345</w:t>
      </w:r>
      <w:r>
        <w:rPr>
          <w:rFonts w:hint="eastAsia" w:ascii="仿宋" w:hAnsi="仿宋" w:eastAsia="仿宋" w:cs="仿宋"/>
          <w:color w:val="auto"/>
          <w:sz w:val="28"/>
          <w:szCs w:val="28"/>
          <w:highlight w:val="none"/>
          <w:lang w:eastAsia="zh-CN"/>
        </w:rPr>
        <w:t>。</w:t>
      </w:r>
    </w:p>
    <w:p>
      <w:pPr>
        <w:pStyle w:val="4"/>
        <w:spacing w:line="360" w:lineRule="auto"/>
        <w:rPr>
          <w:rFonts w:ascii="仿宋" w:hAnsi="仿宋" w:eastAsia="仿宋" w:cs="仿宋"/>
          <w:color w:val="auto"/>
          <w:sz w:val="28"/>
          <w:szCs w:val="28"/>
          <w:highlight w:val="none"/>
        </w:rPr>
      </w:pPr>
      <w:bookmarkStart w:id="11" w:name="_Toc7439"/>
      <w:bookmarkStart w:id="12" w:name="_Toc12717"/>
      <w:bookmarkStart w:id="13" w:name="_Toc10274"/>
      <w:bookmarkStart w:id="14" w:name="_Toc26379"/>
      <w:r>
        <w:rPr>
          <w:rFonts w:hint="eastAsia" w:ascii="仿宋" w:hAnsi="仿宋" w:eastAsia="仿宋" w:cs="仿宋"/>
          <w:color w:val="auto"/>
          <w:sz w:val="28"/>
          <w:szCs w:val="28"/>
          <w:highlight w:val="none"/>
        </w:rPr>
        <w:t>2.形式</w:t>
      </w:r>
      <w:bookmarkEnd w:id="11"/>
      <w:bookmarkEnd w:id="12"/>
    </w:p>
    <w:p>
      <w:pPr>
        <w:spacing w:line="360" w:lineRule="auto"/>
        <w:ind w:firstLine="607" w:firstLineChars="21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比选</w:t>
      </w:r>
      <w:bookmarkEnd w:id="13"/>
      <w:bookmarkEnd w:id="14"/>
    </w:p>
    <w:p>
      <w:pPr>
        <w:pStyle w:val="4"/>
        <w:spacing w:line="360" w:lineRule="auto"/>
        <w:rPr>
          <w:rFonts w:ascii="仿宋" w:hAnsi="仿宋" w:eastAsia="仿宋" w:cs="仿宋"/>
          <w:color w:val="auto"/>
          <w:sz w:val="28"/>
          <w:szCs w:val="28"/>
          <w:highlight w:val="none"/>
        </w:rPr>
      </w:pPr>
      <w:bookmarkStart w:id="15" w:name="_Toc13720"/>
      <w:bookmarkStart w:id="16" w:name="_Toc26546"/>
      <w:bookmarkStart w:id="17" w:name="_Toc21881"/>
      <w:bookmarkStart w:id="18" w:name="_Toc8005"/>
      <w:r>
        <w:rPr>
          <w:rFonts w:hint="eastAsia" w:ascii="仿宋" w:hAnsi="仿宋" w:eastAsia="仿宋" w:cs="仿宋"/>
          <w:color w:val="auto"/>
          <w:sz w:val="28"/>
          <w:szCs w:val="28"/>
          <w:highlight w:val="none"/>
        </w:rPr>
        <w:t>3.比选日程安排</w:t>
      </w:r>
      <w:bookmarkEnd w:id="15"/>
      <w:bookmarkEnd w:id="16"/>
      <w:bookmarkEnd w:id="17"/>
      <w:bookmarkEnd w:id="18"/>
    </w:p>
    <w:p>
      <w:pPr>
        <w:spacing w:line="360" w:lineRule="auto"/>
        <w:ind w:firstLine="607" w:firstLineChars="21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0分（北京时间）前参选</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将参选文件密封送达至比选人处（地址：重庆市北部新区黄山大道中段信达国际A座17</w:t>
      </w:r>
      <w:r>
        <w:rPr>
          <w:rFonts w:hint="eastAsia" w:ascii="仿宋" w:hAnsi="仿宋" w:eastAsia="仿宋" w:cs="仿宋"/>
          <w:color w:val="auto"/>
          <w:sz w:val="28"/>
          <w:szCs w:val="28"/>
          <w:highlight w:val="none"/>
          <w:lang w:val="en-US" w:eastAsia="zh-CN"/>
        </w:rPr>
        <w:t>楼1715室</w:t>
      </w:r>
      <w:r>
        <w:rPr>
          <w:rFonts w:hint="eastAsia" w:ascii="仿宋" w:hAnsi="仿宋" w:eastAsia="仿宋" w:cs="仿宋"/>
          <w:color w:val="auto"/>
          <w:sz w:val="28"/>
          <w:szCs w:val="28"/>
          <w:highlight w:val="none"/>
        </w:rPr>
        <w:t>）。</w:t>
      </w:r>
    </w:p>
    <w:p>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r>
        <w:rPr>
          <w:rFonts w:hint="eastAsia" w:ascii="仿宋" w:hAnsi="仿宋" w:eastAsia="仿宋" w:cs="仿宋"/>
          <w:color w:val="000000"/>
          <w:sz w:val="28"/>
          <w:szCs w:val="28"/>
          <w:highlight w:val="none"/>
          <w:lang w:val="en-US" w:eastAsia="zh-CN"/>
        </w:rPr>
        <w:t>王蕾 18602383621</w:t>
      </w:r>
      <w:r>
        <w:rPr>
          <w:rFonts w:hint="eastAsia" w:ascii="仿宋" w:hAnsi="仿宋" w:eastAsia="仿宋" w:cs="仿宋"/>
          <w:color w:val="auto"/>
          <w:sz w:val="28"/>
          <w:szCs w:val="28"/>
          <w:highlight w:val="none"/>
        </w:rPr>
        <w:t>。</w:t>
      </w:r>
    </w:p>
    <w:p>
      <w:pPr>
        <w:spacing w:line="360" w:lineRule="auto"/>
        <w:ind w:firstLine="607" w:firstLineChars="217"/>
        <w:rPr>
          <w:rFonts w:ascii="仿宋" w:hAnsi="仿宋" w:eastAsia="仿宋" w:cs="仿宋"/>
          <w:color w:val="auto"/>
          <w:sz w:val="28"/>
          <w:szCs w:val="28"/>
          <w:highlight w:val="none"/>
        </w:rPr>
      </w:pPr>
      <w:bookmarkStart w:id="220" w:name="_GoBack"/>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2开标评审时间为</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0分（北京时间）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暂定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，并在评审决议后3个工作日内通知中选</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w:t>
      </w:r>
    </w:p>
    <w:bookmarkEnd w:id="220"/>
    <w:p>
      <w:pPr>
        <w:pStyle w:val="4"/>
        <w:spacing w:line="360" w:lineRule="auto"/>
        <w:rPr>
          <w:rFonts w:hint="default" w:ascii="仿宋" w:hAnsi="仿宋" w:eastAsia="仿宋" w:cs="仿宋"/>
          <w:color w:val="auto"/>
          <w:sz w:val="28"/>
          <w:szCs w:val="28"/>
          <w:highlight w:val="none"/>
          <w:lang w:val="en-US" w:eastAsia="zh-CN"/>
        </w:rPr>
      </w:pPr>
      <w:bookmarkStart w:id="19" w:name="_Toc28370"/>
      <w:bookmarkStart w:id="20" w:name="_Toc14039"/>
      <w:bookmarkStart w:id="21" w:name="_Toc27069"/>
      <w:bookmarkStart w:id="22" w:name="_Toc21525"/>
      <w:r>
        <w:rPr>
          <w:rFonts w:hint="eastAsia" w:ascii="仿宋" w:hAnsi="仿宋" w:eastAsia="仿宋" w:cs="仿宋"/>
          <w:color w:val="auto"/>
          <w:sz w:val="28"/>
          <w:szCs w:val="28"/>
          <w:highlight w:val="none"/>
        </w:rPr>
        <w:t>4.参选内容</w:t>
      </w:r>
      <w:bookmarkEnd w:id="19"/>
      <w:bookmarkEnd w:id="20"/>
      <w:r>
        <w:rPr>
          <w:rFonts w:hint="eastAsia" w:ascii="仿宋" w:hAnsi="仿宋" w:eastAsia="仿宋" w:cs="仿宋"/>
          <w:color w:val="auto"/>
          <w:sz w:val="28"/>
          <w:szCs w:val="28"/>
          <w:highlight w:val="none"/>
          <w:lang w:val="en-US" w:eastAsia="zh-CN"/>
        </w:rPr>
        <w:t>工程清单</w:t>
      </w:r>
      <w:bookmarkEnd w:id="21"/>
      <w:bookmarkEnd w:id="22"/>
    </w:p>
    <w:p>
      <w:pPr>
        <w:spacing w:line="360" w:lineRule="auto"/>
        <w:ind w:firstLine="630" w:firstLineChars="225"/>
        <w:rPr>
          <w:rFonts w:hint="eastAsia" w:ascii="仿宋" w:hAnsi="仿宋" w:eastAsia="仿宋" w:cs="仿宋"/>
          <w:color w:val="auto"/>
          <w:sz w:val="28"/>
          <w:szCs w:val="28"/>
          <w:highlight w:val="none"/>
        </w:rPr>
      </w:pPr>
      <w:bookmarkStart w:id="23" w:name="_Toc28899"/>
      <w:bookmarkStart w:id="24" w:name="_Toc31668"/>
      <w:r>
        <w:rPr>
          <w:rFonts w:hint="eastAsia" w:ascii="仿宋" w:hAnsi="仿宋" w:eastAsia="仿宋" w:cs="仿宋"/>
          <w:color w:val="auto"/>
          <w:sz w:val="28"/>
          <w:szCs w:val="28"/>
          <w:highlight w:val="none"/>
        </w:rPr>
        <w:t>4.1 工程量清单</w:t>
      </w:r>
    </w:p>
    <w:tbl>
      <w:tblPr>
        <w:tblStyle w:val="24"/>
        <w:tblW w:w="884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3"/>
        <w:gridCol w:w="2565"/>
        <w:gridCol w:w="960"/>
        <w:gridCol w:w="1140"/>
        <w:gridCol w:w="3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名称</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区间照明总配电箱（双电源切换）ATLQ</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优质冷轧钢板≥2.0mm，IP≥65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区间照明配电箱ALQ</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聚碳酸酯材质，IP≥65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区间动力检修总箱APQZ</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聚碳酸酯材质，IP≥65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5"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区间动力检修配电箱APQX</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聚碳酸酯材质，IP≥65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5"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电缆转接箱</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聚碳酸酯材质，IP≥65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道岔区按钮箱</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聚碳酸酯材质，IP≥65</w:t>
            </w:r>
          </w:p>
        </w:tc>
      </w:tr>
    </w:tbl>
    <w:p>
      <w:pPr>
        <w:spacing w:line="360" w:lineRule="auto"/>
        <w:ind w:firstLine="280" w:firstLineChars="1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CAD图纸：见附件1：附图。</w:t>
      </w:r>
    </w:p>
    <w:p>
      <w:pPr>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工程量清单为暂定工程量，结算以实际供货验收合格的数量为准。</w:t>
      </w:r>
    </w:p>
    <w:p>
      <w:pPr>
        <w:tabs>
          <w:tab w:val="left" w:pos="4155"/>
        </w:tabs>
        <w:spacing w:line="360" w:lineRule="auto"/>
        <w:ind w:firstLine="5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 供货时间</w:t>
      </w:r>
    </w:p>
    <w:p>
      <w:pPr>
        <w:tabs>
          <w:tab w:val="left" w:pos="4155"/>
        </w:tabs>
        <w:spacing w:line="360" w:lineRule="auto"/>
        <w:ind w:firstLine="5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中选</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收到订单后，</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rPr>
        <w:t>个日历</w:t>
      </w:r>
      <w:r>
        <w:rPr>
          <w:rFonts w:hint="eastAsia" w:ascii="仿宋" w:hAnsi="仿宋" w:eastAsia="仿宋" w:cs="仿宋"/>
          <w:color w:val="auto"/>
          <w:sz w:val="28"/>
          <w:szCs w:val="28"/>
          <w:highlight w:val="none"/>
          <w:lang w:val="en-US" w:eastAsia="zh-CN"/>
        </w:rPr>
        <w:t>天</w:t>
      </w:r>
      <w:r>
        <w:rPr>
          <w:rFonts w:hint="eastAsia" w:ascii="仿宋" w:hAnsi="仿宋" w:eastAsia="仿宋" w:cs="仿宋"/>
          <w:color w:val="auto"/>
          <w:sz w:val="28"/>
          <w:szCs w:val="28"/>
          <w:highlight w:val="none"/>
        </w:rPr>
        <w:t>内完成交货。</w:t>
      </w:r>
    </w:p>
    <w:p>
      <w:pPr>
        <w:pStyle w:val="4"/>
        <w:numPr>
          <w:ilvl w:val="0"/>
          <w:numId w:val="2"/>
        </w:numPr>
        <w:spacing w:line="360" w:lineRule="auto"/>
        <w:rPr>
          <w:rFonts w:ascii="仿宋" w:hAnsi="仿宋" w:eastAsia="仿宋" w:cs="仿宋"/>
          <w:color w:val="auto"/>
          <w:sz w:val="28"/>
          <w:szCs w:val="28"/>
          <w:highlight w:val="none"/>
        </w:rPr>
      </w:pPr>
      <w:bookmarkStart w:id="25" w:name="_Toc1155"/>
      <w:bookmarkStart w:id="26" w:name="_Toc23134"/>
      <w:bookmarkStart w:id="27" w:name="_Toc32682"/>
      <w:bookmarkStart w:id="28" w:name="_Toc17242"/>
      <w:r>
        <w:rPr>
          <w:rFonts w:hint="eastAsia" w:ascii="仿宋" w:hAnsi="仿宋" w:eastAsia="仿宋" w:cs="仿宋"/>
          <w:color w:val="auto"/>
          <w:sz w:val="28"/>
          <w:szCs w:val="28"/>
          <w:highlight w:val="none"/>
        </w:rPr>
        <w:t>比选控制价</w:t>
      </w:r>
      <w:bookmarkEnd w:id="25"/>
      <w:bookmarkEnd w:id="26"/>
    </w:p>
    <w:p>
      <w:pPr>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本次比选文件控制价</w:t>
      </w:r>
      <w:r>
        <w:rPr>
          <w:rFonts w:hint="eastAsia" w:ascii="仿宋" w:hAnsi="仿宋" w:eastAsia="仿宋" w:cs="仿宋"/>
          <w:color w:val="auto"/>
          <w:sz w:val="28"/>
          <w:szCs w:val="28"/>
          <w:highlight w:val="none"/>
          <w:u w:val="single"/>
        </w:rPr>
        <w:t xml:space="preserve"> 921110</w:t>
      </w:r>
      <w:r>
        <w:rPr>
          <w:rFonts w:hint="eastAsia" w:ascii="仿宋" w:hAnsi="仿宋" w:eastAsia="仿宋" w:cs="仿宋"/>
          <w:color w:val="auto"/>
          <w:sz w:val="28"/>
          <w:szCs w:val="28"/>
          <w:highlight w:val="none"/>
          <w:u w:val="single"/>
          <w:lang w:val="en-US" w:eastAsia="zh-CN"/>
        </w:rPr>
        <w:t>.00</w:t>
      </w:r>
      <w:r>
        <w:rPr>
          <w:rFonts w:hint="eastAsia" w:ascii="仿宋" w:hAnsi="仿宋" w:eastAsia="仿宋" w:cs="仿宋"/>
          <w:color w:val="auto"/>
          <w:sz w:val="28"/>
          <w:szCs w:val="28"/>
          <w:highlight w:val="none"/>
        </w:rPr>
        <w:t>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参选人最终报价不得高于比选控制价。</w:t>
      </w:r>
    </w:p>
    <w:p>
      <w:pPr>
        <w:pStyle w:val="4"/>
        <w:spacing w:line="360" w:lineRule="auto"/>
        <w:rPr>
          <w:rFonts w:ascii="仿宋" w:hAnsi="仿宋" w:eastAsia="仿宋" w:cs="仿宋"/>
          <w:color w:val="auto"/>
          <w:sz w:val="28"/>
          <w:szCs w:val="28"/>
          <w:highlight w:val="none"/>
        </w:rPr>
      </w:pPr>
      <w:bookmarkStart w:id="29" w:name="_Toc3680"/>
      <w:bookmarkStart w:id="30" w:name="_Toc28584"/>
      <w:r>
        <w:rPr>
          <w:rFonts w:hint="eastAsia" w:ascii="仿宋" w:hAnsi="仿宋" w:eastAsia="仿宋" w:cs="仿宋"/>
          <w:color w:val="auto"/>
          <w:sz w:val="28"/>
          <w:szCs w:val="28"/>
          <w:highlight w:val="none"/>
        </w:rPr>
        <w:t>6.技术要求</w:t>
      </w:r>
      <w:bookmarkEnd w:id="27"/>
      <w:bookmarkEnd w:id="28"/>
      <w:bookmarkEnd w:id="29"/>
      <w:bookmarkEnd w:id="30"/>
    </w:p>
    <w:p>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详见第二部分“技术要求”。</w:t>
      </w:r>
      <w:r>
        <w:rPr>
          <w:rFonts w:hint="eastAsia" w:ascii="仿宋" w:hAnsi="仿宋" w:eastAsia="仿宋" w:cs="仿宋"/>
          <w:color w:val="auto"/>
          <w:sz w:val="28"/>
          <w:szCs w:val="28"/>
          <w:highlight w:val="none"/>
        </w:rPr>
        <w:tab/>
      </w:r>
    </w:p>
    <w:p>
      <w:pPr>
        <w:pStyle w:val="4"/>
        <w:spacing w:line="360" w:lineRule="auto"/>
        <w:rPr>
          <w:rFonts w:ascii="仿宋" w:hAnsi="仿宋" w:eastAsia="仿宋" w:cs="仿宋"/>
          <w:color w:val="auto"/>
          <w:sz w:val="28"/>
          <w:szCs w:val="28"/>
          <w:highlight w:val="none"/>
        </w:rPr>
      </w:pPr>
      <w:bookmarkStart w:id="31" w:name="_Toc24924"/>
      <w:bookmarkStart w:id="32" w:name="_Toc30231"/>
      <w:r>
        <w:rPr>
          <w:rFonts w:hint="eastAsia" w:ascii="仿宋" w:hAnsi="仿宋" w:eastAsia="仿宋" w:cs="仿宋"/>
          <w:color w:val="auto"/>
          <w:sz w:val="28"/>
          <w:szCs w:val="28"/>
          <w:highlight w:val="none"/>
        </w:rPr>
        <w:t>7.参选有效期</w:t>
      </w:r>
      <w:bookmarkEnd w:id="23"/>
      <w:bookmarkEnd w:id="24"/>
      <w:bookmarkEnd w:id="31"/>
      <w:bookmarkEnd w:id="32"/>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参选文件有效期为投递比选文件起</w:t>
      </w:r>
      <w:r>
        <w:rPr>
          <w:rFonts w:hint="eastAsia" w:ascii="仿宋" w:hAnsi="仿宋" w:eastAsia="仿宋" w:cs="仿宋"/>
          <w:color w:val="auto"/>
          <w:sz w:val="28"/>
          <w:szCs w:val="28"/>
          <w:highlight w:val="none"/>
          <w:lang w:val="en-US" w:eastAsia="zh-CN"/>
        </w:rPr>
        <w:t>90</w:t>
      </w:r>
      <w:r>
        <w:rPr>
          <w:rFonts w:hint="eastAsia" w:ascii="仿宋" w:hAnsi="仿宋" w:eastAsia="仿宋" w:cs="仿宋"/>
          <w:color w:val="auto"/>
          <w:sz w:val="28"/>
          <w:szCs w:val="28"/>
          <w:highlight w:val="none"/>
        </w:rPr>
        <w:t>天，在此期限内，所有参选文件均保持有效。</w:t>
      </w:r>
    </w:p>
    <w:p>
      <w:pPr>
        <w:pStyle w:val="4"/>
        <w:spacing w:line="360" w:lineRule="auto"/>
        <w:rPr>
          <w:rFonts w:ascii="仿宋" w:hAnsi="仿宋" w:eastAsia="仿宋" w:cs="仿宋"/>
          <w:color w:val="auto"/>
          <w:sz w:val="28"/>
          <w:szCs w:val="28"/>
          <w:highlight w:val="none"/>
        </w:rPr>
      </w:pPr>
      <w:bookmarkStart w:id="33" w:name="_Toc20735"/>
      <w:bookmarkStart w:id="34" w:name="_Toc14730"/>
      <w:bookmarkStart w:id="35" w:name="_Toc1521"/>
      <w:bookmarkStart w:id="36" w:name="_Toc13164"/>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.迟交的参选文件</w:t>
      </w:r>
      <w:bookmarkEnd w:id="33"/>
      <w:bookmarkEnd w:id="34"/>
      <w:bookmarkEnd w:id="35"/>
      <w:bookmarkEnd w:id="36"/>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参选</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在本须知中规定的参选截止时间后提交的参选文件，比选人将拒绝或原封退回给</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w:t>
      </w:r>
    </w:p>
    <w:p>
      <w:pPr>
        <w:pStyle w:val="4"/>
        <w:spacing w:line="360" w:lineRule="auto"/>
        <w:rPr>
          <w:rFonts w:ascii="仿宋" w:hAnsi="仿宋" w:eastAsia="仿宋" w:cs="仿宋"/>
          <w:color w:val="auto"/>
          <w:sz w:val="28"/>
          <w:szCs w:val="28"/>
          <w:highlight w:val="none"/>
        </w:rPr>
      </w:pPr>
      <w:bookmarkStart w:id="37" w:name="_Toc8133"/>
      <w:bookmarkStart w:id="38" w:name="_Toc24299"/>
      <w:bookmarkStart w:id="39" w:name="_Toc5392"/>
      <w:bookmarkStart w:id="40" w:name="_Toc15522"/>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.参选文件的符合性审查</w:t>
      </w:r>
      <w:bookmarkEnd w:id="37"/>
      <w:bookmarkEnd w:id="38"/>
      <w:bookmarkEnd w:id="39"/>
      <w:bookmarkEnd w:id="40"/>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.1 参选文件有下列情况之一者，经评审小组认定未能对比选文件作出实质性响应，作废标处理：</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（1）参选文件没有</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法定代表人或委托代理人签字并加盖公章。</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（2）参选供货</w:t>
      </w:r>
      <w:r>
        <w:rPr>
          <w:rFonts w:hint="eastAsia" w:ascii="仿宋" w:hAnsi="仿宋" w:eastAsia="仿宋" w:cs="仿宋"/>
          <w:color w:val="auto"/>
          <w:sz w:val="28"/>
          <w:szCs w:val="28"/>
          <w:highlight w:val="none"/>
          <w:lang w:val="en-US" w:eastAsia="zh-CN"/>
        </w:rPr>
        <w:t>周期</w:t>
      </w:r>
      <w:r>
        <w:rPr>
          <w:rFonts w:hint="eastAsia" w:ascii="仿宋" w:hAnsi="仿宋" w:eastAsia="仿宋" w:cs="仿宋"/>
          <w:color w:val="auto"/>
          <w:sz w:val="28"/>
          <w:szCs w:val="28"/>
          <w:highlight w:val="none"/>
        </w:rPr>
        <w:t>不能满足</w:t>
      </w:r>
      <w:r>
        <w:rPr>
          <w:rFonts w:hint="eastAsia" w:ascii="仿宋" w:hAnsi="仿宋" w:eastAsia="仿宋" w:cs="仿宋"/>
          <w:color w:val="auto"/>
          <w:sz w:val="28"/>
          <w:szCs w:val="28"/>
          <w:highlight w:val="none"/>
          <w:lang w:val="en-US" w:eastAsia="zh-CN"/>
        </w:rPr>
        <w:t>4.2供货时间</w:t>
      </w:r>
      <w:r>
        <w:rPr>
          <w:rFonts w:hint="eastAsia" w:ascii="仿宋" w:hAnsi="仿宋" w:eastAsia="仿宋" w:cs="仿宋"/>
          <w:color w:val="auto"/>
          <w:sz w:val="28"/>
          <w:szCs w:val="28"/>
          <w:highlight w:val="none"/>
        </w:rPr>
        <w:t>的要求。</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（3）不符合比选文件中明确的各项技术要求和检验要求。</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（4）参选文件附有比选人不能接受的条件。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参选文件报价超出比选控制价。</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（6）参选文件报价明显</w:t>
      </w:r>
      <w:r>
        <w:rPr>
          <w:rFonts w:hint="eastAsia" w:ascii="仿宋" w:hAnsi="仿宋" w:eastAsia="仿宋" w:cs="仿宋"/>
          <w:color w:val="auto"/>
          <w:sz w:val="28"/>
          <w:szCs w:val="28"/>
          <w:highlight w:val="none"/>
          <w:lang w:val="en-US" w:eastAsia="zh-CN"/>
        </w:rPr>
        <w:t>低于市场价</w:t>
      </w:r>
      <w:r>
        <w:rPr>
          <w:rFonts w:hint="eastAsia" w:ascii="仿宋" w:hAnsi="仿宋" w:eastAsia="仿宋" w:cs="仿宋"/>
          <w:color w:val="auto"/>
          <w:sz w:val="28"/>
          <w:szCs w:val="28"/>
          <w:highlight w:val="none"/>
        </w:rPr>
        <w:t>，并且</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对此参选报价不能做出合理的解释。</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）不符合比选文件中规定的其它实质性要求。</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.2 在参选文件的组成部分中的任何一部分被确认为作废，则该参选文件作废。</w:t>
      </w:r>
    </w:p>
    <w:p>
      <w:pPr>
        <w:pStyle w:val="4"/>
        <w:spacing w:line="360" w:lineRule="auto"/>
        <w:rPr>
          <w:rFonts w:ascii="仿宋" w:hAnsi="仿宋" w:eastAsia="仿宋" w:cs="仿宋"/>
          <w:color w:val="auto"/>
          <w:sz w:val="28"/>
          <w:szCs w:val="28"/>
          <w:highlight w:val="none"/>
        </w:rPr>
      </w:pPr>
      <w:bookmarkStart w:id="41" w:name="_Toc10306"/>
      <w:bookmarkStart w:id="42" w:name="_Toc15251"/>
      <w:bookmarkStart w:id="43" w:name="_Toc21114"/>
      <w:bookmarkStart w:id="44" w:name="_Toc12069"/>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w:t>
      </w:r>
      <w:bookmarkEnd w:id="41"/>
      <w:bookmarkEnd w:id="42"/>
      <w:r>
        <w:rPr>
          <w:rFonts w:hint="eastAsia" w:ascii="仿宋" w:hAnsi="仿宋" w:eastAsia="仿宋" w:cs="仿宋"/>
          <w:color w:val="auto"/>
          <w:sz w:val="28"/>
          <w:szCs w:val="28"/>
          <w:highlight w:val="none"/>
        </w:rPr>
        <w:t>评审</w:t>
      </w:r>
      <w:bookmarkEnd w:id="43"/>
      <w:bookmarkEnd w:id="44"/>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.1比选人成立评审小组，评审小组将根据各</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在满足供货质量、供货周期、技术、响应比选文件要求等方面进行评审，选择</w:t>
      </w:r>
      <w:r>
        <w:rPr>
          <w:rFonts w:hint="eastAsia" w:ascii="仿宋" w:hAnsi="仿宋" w:eastAsia="仿宋" w:cs="仿宋"/>
          <w:color w:val="auto"/>
          <w:sz w:val="28"/>
          <w:szCs w:val="28"/>
          <w:highlight w:val="none"/>
          <w:lang w:val="en-US" w:eastAsia="zh-CN"/>
        </w:rPr>
        <w:t>满足比选文件要求的有效最低价</w:t>
      </w:r>
      <w:r>
        <w:rPr>
          <w:rFonts w:hint="eastAsia" w:ascii="仿宋" w:hAnsi="仿宋" w:eastAsia="仿宋" w:cs="仿宋"/>
          <w:color w:val="auto"/>
          <w:sz w:val="28"/>
          <w:szCs w:val="28"/>
          <w:highlight w:val="none"/>
        </w:rPr>
        <w:t>。</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在评审过程中应保证接受评审小组的随时质询。若</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因故不能接受可能的质询，其参选文件仍有效，但应视为</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已默认评审小组对缺席的质询所作出的结论。</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.3在参选文件的评审和比较以及授予合同的过程中，</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如试图向比选小组施加贿赂或影响的任何行为，都将会导致其参选被拒绝。</w:t>
      </w:r>
    </w:p>
    <w:p>
      <w:pPr>
        <w:pStyle w:val="4"/>
        <w:spacing w:line="360" w:lineRule="auto"/>
        <w:rPr>
          <w:rFonts w:ascii="仿宋" w:hAnsi="仿宋" w:eastAsia="仿宋" w:cs="仿宋"/>
          <w:color w:val="auto"/>
          <w:sz w:val="28"/>
          <w:szCs w:val="28"/>
          <w:highlight w:val="none"/>
        </w:rPr>
      </w:pPr>
      <w:bookmarkStart w:id="45" w:name="_Toc3778"/>
      <w:bookmarkStart w:id="46" w:name="_Toc30137"/>
      <w:bookmarkStart w:id="47" w:name="_Toc15079"/>
      <w:bookmarkStart w:id="48" w:name="_Toc10109"/>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.合同的授予</w:t>
      </w:r>
      <w:bookmarkEnd w:id="45"/>
      <w:bookmarkEnd w:id="46"/>
      <w:bookmarkEnd w:id="47"/>
      <w:bookmarkEnd w:id="48"/>
    </w:p>
    <w:p>
      <w:pPr>
        <w:spacing w:line="360" w:lineRule="auto"/>
        <w:ind w:firstLine="610" w:firstLineChars="2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由比选人重庆机电控股集团机电工程技术有限公司与中选人根据《民法典》的规定，依据比选文件、参选文件、技术协议文件等相关文件签订采购合同。</w:t>
      </w:r>
      <w:bookmarkStart w:id="49" w:name="_Toc3407"/>
      <w:bookmarkStart w:id="50" w:name="_Toc26047"/>
      <w:bookmarkStart w:id="51" w:name="_Toc30471"/>
    </w:p>
    <w:p>
      <w:pPr>
        <w:pStyle w:val="4"/>
        <w:spacing w:line="360" w:lineRule="auto"/>
        <w:rPr>
          <w:rFonts w:hint="eastAsia" w:ascii="仿宋" w:hAnsi="仿宋" w:eastAsia="仿宋" w:cs="仿宋"/>
          <w:color w:val="auto"/>
          <w:sz w:val="28"/>
          <w:szCs w:val="28"/>
          <w:highlight w:val="none"/>
        </w:rPr>
      </w:pPr>
      <w:bookmarkStart w:id="52" w:name="_Toc22328"/>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.其它</w:t>
      </w:r>
      <w:bookmarkEnd w:id="49"/>
      <w:bookmarkEnd w:id="50"/>
      <w:bookmarkEnd w:id="51"/>
      <w:bookmarkEnd w:id="52"/>
    </w:p>
    <w:p>
      <w:pPr>
        <w:spacing w:line="360" w:lineRule="auto"/>
        <w:ind w:firstLine="52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本比选文件的解释权和修改权归重庆机电控股集团机电工程技术有限公司所有。</w:t>
      </w:r>
      <w:bookmarkStart w:id="53" w:name="_Toc14249"/>
      <w:bookmarkStart w:id="54" w:name="_Toc9562"/>
    </w:p>
    <w:p>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pPr>
        <w:pStyle w:val="2"/>
        <w:numPr>
          <w:ilvl w:val="0"/>
          <w:numId w:val="3"/>
        </w:numPr>
        <w:snapToGrid w:val="0"/>
        <w:spacing w:before="0" w:after="312" w:afterAutospacing="0" w:line="360" w:lineRule="auto"/>
        <w:jc w:val="center"/>
        <w:rPr>
          <w:rFonts w:hint="eastAsia" w:ascii="仿宋" w:hAnsi="仿宋" w:eastAsia="仿宋" w:cs="仿宋"/>
          <w:snapToGrid w:val="0"/>
          <w:color w:val="auto"/>
          <w:kern w:val="0"/>
          <w:sz w:val="32"/>
          <w:szCs w:val="32"/>
          <w:highlight w:val="none"/>
          <w:lang w:val="en-US" w:eastAsia="zh-CN"/>
        </w:rPr>
      </w:pPr>
      <w:bookmarkStart w:id="55" w:name="_Toc30708"/>
      <w:bookmarkStart w:id="56" w:name="_Toc2881"/>
      <w:r>
        <w:rPr>
          <w:rFonts w:hint="eastAsia" w:ascii="仿宋" w:hAnsi="仿宋" w:eastAsia="仿宋" w:cs="仿宋"/>
          <w:snapToGrid w:val="0"/>
          <w:color w:val="auto"/>
          <w:kern w:val="0"/>
          <w:sz w:val="32"/>
          <w:szCs w:val="32"/>
          <w:highlight w:val="none"/>
        </w:rPr>
        <w:t>技术</w:t>
      </w:r>
      <w:bookmarkEnd w:id="53"/>
      <w:bookmarkEnd w:id="54"/>
      <w:bookmarkStart w:id="57" w:name="_Toc27947"/>
      <w:bookmarkStart w:id="58" w:name="_Toc9623"/>
      <w:r>
        <w:rPr>
          <w:rFonts w:hint="eastAsia" w:ascii="仿宋" w:hAnsi="仿宋" w:eastAsia="仿宋" w:cs="仿宋"/>
          <w:snapToGrid w:val="0"/>
          <w:color w:val="auto"/>
          <w:kern w:val="0"/>
          <w:sz w:val="32"/>
          <w:szCs w:val="32"/>
          <w:highlight w:val="none"/>
          <w:lang w:val="en-US" w:eastAsia="zh-CN"/>
        </w:rPr>
        <w:t>要求</w:t>
      </w:r>
      <w:bookmarkEnd w:id="55"/>
      <w:bookmarkEnd w:id="56"/>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1.2配电箱  </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59" w:name="_Toc59631745"/>
      <w:bookmarkStart w:id="60" w:name="_Toc416683848"/>
      <w:r>
        <w:rPr>
          <w:rFonts w:hint="eastAsia" w:ascii="仿宋" w:hAnsi="仿宋" w:eastAsia="仿宋" w:cs="仿宋"/>
          <w:color w:val="auto"/>
          <w:sz w:val="28"/>
          <w:szCs w:val="28"/>
          <w:highlight w:val="none"/>
          <w:lang w:val="en-US" w:eastAsia="zh-CN"/>
        </w:rPr>
        <w:t>1.2.1用途</w:t>
      </w:r>
      <w:bookmarkEnd w:id="59"/>
      <w:bookmarkEnd w:id="60"/>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配电箱（柜）包括双电源切换箱、动力配电箱、照明配电箱、按钮箱、智能照明控制箱、广告照明配电箱、商业用电配电箱、灯饰工程照明配电箱、车站检修插座箱、区间检修插座箱等，在低压配电中作为对用电设备进行配电、控制、保护的配电装置。</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61" w:name="_Toc59631746"/>
      <w:bookmarkStart w:id="62" w:name="_Toc416683849"/>
      <w:r>
        <w:rPr>
          <w:rFonts w:hint="eastAsia" w:ascii="仿宋" w:hAnsi="仿宋" w:eastAsia="仿宋" w:cs="仿宋"/>
          <w:color w:val="auto"/>
          <w:sz w:val="28"/>
          <w:szCs w:val="28"/>
          <w:highlight w:val="none"/>
          <w:lang w:val="en-US" w:eastAsia="zh-CN"/>
        </w:rPr>
        <w:t>1.2.2标准</w:t>
      </w:r>
      <w:bookmarkEnd w:id="61"/>
      <w:bookmarkEnd w:id="62"/>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项目总承包商应执行不限于以下的标准，在执行过程中若有国内标准与国际标准不一致之处，按高标准执行。在供货期间如有最新国家或行业标准,则产品应符合新标准要求。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1）GB14048.1《低压开关设备和控制设备 第1部分：总则》</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2）GB14048.2《低压开关设备和控制设备 第2部分：低压断路器》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3）GB 14048.3《低压开关设备和控制设备 第3部分： 开关、隔离器、隔离开关及熔断器组合电器》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4）GB14048.4《低压开关设备和控制设备 第4-1部分：接触器和电动机起动器 机电式接触器和电动机起动器(含电动机保护器)》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5）GB/T13911 《金属镀覆和化学处理标示方法》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6）GB 7251.1《低压成套开关设备和控制设备 第1部分：总则》</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7）GB 7251.3</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《低压成套开关设备和控制设备 第三部分：对非专业人员可进入场地的低压成套设备和控制设备---配电板的特殊要求》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8）JB/T 9661</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 xml:space="preserve">  《低压抽出式成套开关设备》</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9）GB/T 4207《固体绝缘材料耐电痕化指数和相比电痕化指数的测定方法》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10）相关的IEC和国家标准</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63" w:name="_Toc59631747"/>
      <w:bookmarkStart w:id="64" w:name="_Toc416683850"/>
      <w:r>
        <w:rPr>
          <w:rFonts w:hint="eastAsia" w:ascii="仿宋" w:hAnsi="仿宋" w:eastAsia="仿宋" w:cs="仿宋"/>
          <w:color w:val="auto"/>
          <w:sz w:val="28"/>
          <w:szCs w:val="28"/>
          <w:highlight w:val="none"/>
          <w:lang w:val="en-US" w:eastAsia="zh-CN"/>
        </w:rPr>
        <w:t>1.2.3使用环境</w:t>
      </w:r>
      <w:bookmarkEnd w:id="63"/>
      <w:bookmarkEnd w:id="64"/>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1) 安装环境条件：室内、室外（含隧道）。</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2) 周围空气温度：</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室内最高温度：              +40℃</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最低温度：                -5℃</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3) 相对湿度： 日平均值不大于95%</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月平均值不大于90%</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饱和蒸汽压：日平均值不大于2.2×10-3Mpa</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月平均值不大于1.8×10-3Mpa</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4) 地震条件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地震烈度： 7度</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5) 海拔高度：≤1000米</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6) 装置适用于以下温度运输和储存：-5℃～+45℃</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在短时间内(不超过24小时)，不超过+70℃。</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65" w:name="_Toc59631748"/>
      <w:bookmarkStart w:id="66" w:name="_Toc416683851"/>
      <w:r>
        <w:rPr>
          <w:rFonts w:hint="eastAsia" w:ascii="仿宋" w:hAnsi="仿宋" w:eastAsia="仿宋" w:cs="仿宋"/>
          <w:color w:val="auto"/>
          <w:sz w:val="28"/>
          <w:szCs w:val="28"/>
          <w:highlight w:val="none"/>
          <w:lang w:val="en-US" w:eastAsia="zh-CN"/>
        </w:rPr>
        <w:t>1.2.4技术要求</w:t>
      </w:r>
      <w:bookmarkEnd w:id="65"/>
      <w:bookmarkEnd w:id="66"/>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1、动力配电箱(柜)</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1）结构要求：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配电柜的柜型及柜体要求同环控电控柜的要求，采用固定式。</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双电源切换箱、动力配电箱、按钮箱、照明配电箱、车站公共区智能照明控制箱、广告照明配电箱、商业用电配电箱、车站检修插座箱等结构要求：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a.箱体、箱门材料采用优质冷轧钢板, 厚度δ≥1.50mm（配电柜≥2.0mm）、安装轨、进线护罩和母线档板等构成，并设有中性线和接地端子排。</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b.照明配电箱：带变压器的配电箱设置散热百叶窗，其余配电箱不设置散热百叶窗。</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c.箱体为静电粉末喷涂，喷涂的固化温度应符合要求，颜色在设计联络期间决定。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d.箱门均需带锁防护（三角形专用锁），箱体防护等级IP20-照明配电室，（风机房、风道、冷水机房、水泵房不低于IP55）。</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e. 暗装箱体厚度不得超过240mm。</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f、注意考虑新增元件扩展位置。</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g、低压断路器根据馈线电缆截面配置连接附件。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h、设置于室外的配电箱/柜颜色色号采用RAL7035，不锈钢材质的配电箱/柜必须采用不锈钢本色，具备良好的防雨水功能，防护等级IP65或以上。</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i、柜内安装导轨需采用螺栓固定在箱体内。</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j、箱体明、暗装形式通用，采用内孔即膨胀螺栓安装。</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k、所有配电箱箱门与箱体外壳间均要求安装接地导线。</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L、各类配电箱、控制箱原则上采用下进下出的接线方式，厂家确定箱体尺寸时，应根据进出线电缆的大小，充分考虑箱内进出线接线空间。</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2）性能要求：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源箱应具有过载、短路和漏电保护功能。对车站广告照明、车站临时施工、商业通信、附属设施用电、灯饰照明配电箱等非运营配单箱进线回路安装带通信接口的数显电度表（准确等级1.0级）。各类经营资源需单独计量，采用智能计量装置。</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智能照明系统配电箱内电器元件采用模数化电器。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高架车站变电所、牵引混合变电所的风机配电箱要求带远控功能及反馈信号以便综合监控专业能对风机进行监控。</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区间隧道风机、隧道排热风机、环控送排风机和空调冷却塔等设置就地按钮箱，要求按正反转、高低速、启动、停止按钮、位置转换开关、运行和相应指示灯配置。</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箱体便于现场开孔,以便日后增加进线、出线。</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箱内、外标识齐全美观统一，原理图、系统图过塑后贴于箱门内侧，回路标牌清晰牢固。除箱门外，内有防护板，防护面板应预留空余开关位。</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箱内应有充足的接线空间和电缆转弯空间，二次回路接线必须设置进出线接线端子。</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各回路相序应按设计要求，不得擅自更改。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电气参数见施工设计图。</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涉及消防的产品需满足消防相关规范要求。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3）箱体安装方式</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（1）可挂墙式安装，嵌入式安装，落地式安装。</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（2）通信机房、信号机房、车控室、公共区配电箱和变电所的照明配电箱均要求采用暗装方式；照明配电室内的配电箱均要求采用明装方式安装；风机房、风道的配电箱均要求采用明装方式安装。</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（3）配电箱/柜成组安装应排列整齐美观。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（4）安装在公共区（站厅、站台）、出入口通道的配电箱箱门带锁。对于操作按钮，有防止非工作人员操作的措施。</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（5）相同系统图，配电箱的外形尺寸相同。</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（6）照明配电室配电箱安装采用同一高度，以下边平齐。</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2、区间检修插座箱及照明箱</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结构要求：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要求箱体采用高级聚碳酸酯一次注塑成型。隧道内应具有防尘、防潮、防腐、防爆和阻燃、耐高温、抗老化、韧性大、抗冲击性好、光洁度高和63A以上插座软接触；高架区间除满足以上要求外，还应具有防雨、抗紫外线功能。</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馈出开关设置高防护等级的可透视操作窗罩。避免了开箱操作时粉尘、雨水等有害物质乘隙而入，确保检修箱的整体防护等级达IP65。</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箱体应为免维护型，免维护年限为20年。</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性能要求：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（1）主要技术参数</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额定绝缘电压：AC660V</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额定工作电压：AC220/380V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额定工作频率：50Hz</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输出电流：见低压配电系统设计图</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输出电压：交流220V、380V</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输出插座极数：2P+E、3P+N+E</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整体防护等级：IP65</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防污等级：IV级</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（2）区间明装检修插座箱应采用国际知名品牌的工业用插接件，插座防护等级：IP67。</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插头、插座和组合插座箱产品结构合理，功能插套应具有弹簧紧箍卡簧结构，需保证接插时插杆与插套之间极低的接触电阻，外壳颜色标识使用不同的电压和频率。不同型号插头、插座因插头位置、直径、极数不相同而防止误插,设计要有防脱落装置并具备优异的电气绝缘性能和介电强度等性能特点。有特种插头标准要求的插座数量，在设计联络时确定。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（3）插座箱、电缆分线箱箱体为免维护20年，箱内其它元件保修期为2年。</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67" w:name="_Toc416683852"/>
      <w:bookmarkStart w:id="68" w:name="_Toc59631749"/>
      <w:r>
        <w:rPr>
          <w:rFonts w:hint="eastAsia" w:ascii="仿宋" w:hAnsi="仿宋" w:eastAsia="仿宋" w:cs="仿宋"/>
          <w:color w:val="auto"/>
          <w:sz w:val="28"/>
          <w:szCs w:val="28"/>
          <w:highlight w:val="none"/>
          <w:lang w:val="en-US" w:eastAsia="zh-CN"/>
        </w:rPr>
        <w:t>1.2.5主要元器件</w:t>
      </w:r>
      <w:bookmarkEnd w:id="67"/>
      <w:bookmarkEnd w:id="68"/>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1）断路器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低压交流框架式断路器采用等同于或优于E系列（ABB）、3WL系列（西门子）、IZM3系列（默勒）、GE M-PACT系列、MT（不带尾缀）系列（施耐德）或与之相当的品牌产品；塑壳式断路器采用等同于或优于T系列（ABB）、3VL系列（西门子）、GE Record Plus系列、NZM3系列（默勒）、NSX（不带尾缀）系列（施耐德）或与之相当的品牌产品。当产品更新换代时，所选用的产品系列应为满足功能要求的最新系列成熟市场产品。</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低压交流框架式断路器、塑壳式断路器的品牌应相同，并应符合下列主要技术要求：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（1）低压交流塑壳式断路器应满足系统电压、电流、频率的性能要求；分断能力不低于设计图设计要求值；微型断路器采用与塑壳式断路器同品牌，并要求分断能力为10KA。。</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保护：断路器应配置瞬时短路，过载保护；满足设计电流整定值；</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（2）带漏电保护的断路器应配置瞬时短路、过载保护和漏电保护。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（3）按施工图配置分励脱扣器、辅助触点等附件。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2）双电源切换开关</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（1）ATS额定电压为380VAC、50Hz，额定电流按图上标称值，耐受电压为AC690V。</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（2）ATS必须符合自动转换开关的相关标准（IEC60947-6-1），ATS的短路电流耐受能力及带载切换的闭合额定能力应满足要求。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（3）ATS为PC双投型，电磁激励、机械保持结构，有独立灭弧罩，机械转换时间不应超过100毫秒，PC级ATS必须符合AC-33B的负载测试条件。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（4）ATS的开关和控制器组件均由统一生产厂家提供以确保安全。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（5）ATS应具有手柄以便于检修和应急时使用。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（6）ATS的各种参数均在现场可调。</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（7）具有电源可用性显示、ATS开关所接位置显示。</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（8）具有开放性RS-485通讯接口，要求采用标准、通用开放的通讯协议。</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（9）ATS应确保二路低压电源的带负荷切换。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3）微型断路器、接触器、热继电器、中间继电器等主要部件原则上采用同一品牌产品.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交流接触器，工作电压380V，工作电流见低压配电设计图，线圈工作电压220VAC，辅助触点4常开4常闭。</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箱（柜）内导线、导线颜色、LED指示灯、按钮、插接件、走线槽等均应符合国家或行业的有关标准。强弱电端子排应分开排列。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4）箱内母线、导线及电力仪表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箱内配电母线采用紫铜材料的铜排，纯度应为99.95％以上。绝缘导线应为阻燃型耐热多股铜线，导线规格应满足开关整定容量，一次回路不小于2.5mm2，二次回路不小于1.5mm2。导线途经可活动部分时应采用柔软过渡，导线可随挠曲变形而不致疲劳损坏。导线的绝缘层应为低烟无卤材料。导线的颜色应符合GB2681《电工成套装置中的导线颜色》的规定。</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电力仪表要求同环控柜。</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5）车站公共区智能照明系统</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（1）智能照明配电箱</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①进出线断路器应满足“主要元器件”中关于断路器的要求。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②公共区照明采用智能开关模块，控制模块参数见设计图。</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③地下车站公共区智能照明控制模式：正常、节能、全景、停用；高架车站公共区带光控的智能照明控制模式：正常、节能、全景、停用；具体在设计联络时确定。</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（2）智能照明控制系统要求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①智能照明产品在照明控制方面具有专业性和相应的大型照明控制工程实例；</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保证系统的开放性，不同厂家的元件、软件应达到无缝兼容，以保障系统运行、维护的稳定性；并提供不同操作系统下的智能照明软件,并开放模块底层协议。程序必须能集成在BAS系统内，在车控室由BAS平台进行监视、控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③照明系统需采用现场总线结构，控制设备为模块化安装，应直接安装在相应照明配电箱中，采用35mm标准DIN导轨安装，安装尺寸需要符合普通标准照明配电箱的规格，便于节省空间和现场维护及安装；</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④系统抗干扰性能强，运行可靠，系统内元件必须要有一定的抗过压能力。元件本体需要有2kV的耐压能力，总线必须要有至少2.5kV耐压能力，且能够与强电线并排铺设。现场模块安装无需单独要求抗干扰措施；</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⑤总线结构支持自由拓扑结构，总线任意位置可自由分支，如分支、树型、星型等；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⑥照明控制现场模块具有远程在线程序下载和诊断功能，便于缩短系统调试时间和故障检测及维护；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⑦照明控制系统需要监视和控制所有被控照明回路工作状态、回路电流大小及坏灯故障报警等；现场照明模块上具有手动和指示，便于维护和故障时临时使用；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⑧主要设备性能参数：见低压配电系统设计图</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开关控制器要求：均需要进行回路电流检测和电能测量功能；</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配置智能模块必须考虑感性负荷冲击特性和无功损耗；</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⑨各照明控制模块直接通过总线相互连接，同层通讯，无主从结构，组成分布式照明控制系统。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（3）监控系统</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监控软件要求使用简单，控制参数设置方便，可操作性强，可进行分级及图形界面操作，通过综合监控系统实现所有数据上传功能。通过程序实现各种相应功能要求，并能以图形方式显示。</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智能照明系统在车控室设控制面板，在BAS控制失效时，应能通过面板对照明系统进行手动控制。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6）浪涌保护器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（1）为了消除雷电和操作过电压的影响，在配电箱/柜进线端设置三相浪涌保护器，其应满足B级雷电防护的要求。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浪涌保护器应采用高质量的知名品牌产品（具体选型在设计联络时确定），浪涌保护器须具有国家认可的防雷产品检测机构出具的正式试验报告，以及重庆市防雷中心认可的测试报告，并带有实效指示。在浪涌保护器前，应设置三相断路器作为后备保护，以便维护时可灵活操作。电气技术性能及参数应满足国家标准及设计图纸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  设计联络</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1.3.1 第一次设计联络</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69" w:name="_Toc8016"/>
      <w:bookmarkStart w:id="70" w:name="_Toc7994"/>
      <w:bookmarkStart w:id="71" w:name="_Toc17990"/>
      <w:bookmarkStart w:id="72" w:name="_Toc474419128"/>
      <w:r>
        <w:rPr>
          <w:rFonts w:hint="eastAsia" w:ascii="仿宋" w:hAnsi="仿宋" w:eastAsia="仿宋" w:cs="仿宋"/>
          <w:color w:val="auto"/>
          <w:sz w:val="28"/>
          <w:szCs w:val="28"/>
          <w:highlight w:val="none"/>
          <w:lang w:val="en-US" w:eastAsia="zh-CN"/>
        </w:rPr>
        <w:t>1) 第一次设计联络应解决以下问题，并不限于此：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A、乙方完整的介绍产品的技术、设计思想。确认合同中设备及主材的制造标准，包括工艺、结构形式、零件和元器件等；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B、确认合同设备的接口关系处理、安装及配置形式；</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C、确认乙方提供的第一批技术资料是否满足要求；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D、考察乙方的生产制造厂家；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E、讨论和确认第二次设计联络的内容和议程。</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 乙方应提供给甲方进行审查、确认的文件、图纸应包含但不限于下列主要项目：</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A、按合同“技术文件”中要求，提供系统、设备的相关技术要求和标准；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B、设备基本布置要求及相关图纸、安装方法；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C、各种设备材料设计图纸和技术说明，应包含详细的技术指标、功能及接口说明等；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D、设备与其他专业系统设备之间的接口及标准；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E、各种设备的主要电源要求及功耗；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F、设备总图、电气原理图、二次接线图等。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 在第一次设计联络会议前15天，乙方应以《技术文件》为基础，完成设备的功能规格的详细编制，详细说明各相关设备的接口关系，并提供5份设备的设计文件、标准、图纸和资料给甲方，以供甲方检查确认并做准备。</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 第一次设计联络按设计联络需求表建议地点进行；应在合同签定后30天内进行。</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 本次联络还应在联络时提供下列资料供第二次设计联络确认：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工厂检测、单机测试、系统测试、联合调试等的程序和标准；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系统及设备的原理接线图和接口设计文件。</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73" w:name="_Toc59631691"/>
      <w:bookmarkStart w:id="74" w:name="_Toc416683794"/>
      <w:bookmarkStart w:id="75" w:name="_Toc199727542"/>
      <w:bookmarkStart w:id="76" w:name="_Toc194401133"/>
      <w:r>
        <w:rPr>
          <w:rFonts w:hint="eastAsia" w:ascii="仿宋" w:hAnsi="仿宋" w:eastAsia="仿宋" w:cs="仿宋"/>
          <w:color w:val="auto"/>
          <w:sz w:val="28"/>
          <w:szCs w:val="28"/>
          <w:highlight w:val="none"/>
          <w:lang w:val="en-US" w:eastAsia="zh-CN"/>
        </w:rPr>
        <w:t>1.3.2第二次设计联络会议</w:t>
      </w:r>
      <w:bookmarkEnd w:id="73"/>
      <w:bookmarkEnd w:id="74"/>
      <w:bookmarkEnd w:id="75"/>
      <w:bookmarkEnd w:id="76"/>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第二次设计联络应在设备和材料生产前进行，时间和地点由乙方提前15天通告甲方，并由甲方确认。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 第二次设计联络应解决以下问题，并不限于此：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A、确认双方在第一次设计联络时的互提资料。</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B、确认乙方提供的第二批设备制造等技术资料，图纸和其它资料。</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C、确认合同设备的包装和运输。</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D、讨论有关试验问题和技术培训计划。</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E、讨论配合安装、调试、检查和试运行的计划和程序。</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 确认已修改完成的设备制造设计、安装设计及与有关系统的接口设计。</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 本次联络后乙方应提交下列资料：</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各种设备的最终功能规格说明书（含技术指标、功能说明、标准等）；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设备的安装方法；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设备的有关补充标准及工厂检测、安装、测试的程序、标准的补充；</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系统及设备电气原理接线图，系统及设备内部元器件布置图等；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子系统之间及本系统与其他系统设备之间的原理接线图；</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设备的最终设计图（含端子排图、设备之间的电缆连接和通信接口连接等图）；</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详细的监造计划（包括时间、地点、试验项目等）。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 在第二次设计联络会议前15天，乙方应先提供5份详细设计的文件、资料、图纸给甲方，以作准备。</w:t>
      </w:r>
    </w:p>
    <w:bookmarkEnd w:id="69"/>
    <w:bookmarkEnd w:id="70"/>
    <w:bookmarkEnd w:id="71"/>
    <w:bookmarkEnd w:id="72"/>
    <w:p>
      <w:pPr>
        <w:spacing w:line="360" w:lineRule="auto"/>
        <w:ind w:firstLine="610" w:firstLineChars="218"/>
        <w:rPr>
          <w:rFonts w:hint="eastAsia" w:ascii="仿宋" w:hAnsi="仿宋" w:eastAsia="仿宋" w:cs="仿宋"/>
          <w:color w:val="auto"/>
          <w:sz w:val="28"/>
          <w:szCs w:val="28"/>
          <w:highlight w:val="none"/>
          <w:lang w:val="en-US" w:eastAsia="zh-CN"/>
        </w:rPr>
      </w:pPr>
      <w:bookmarkStart w:id="77" w:name="_Toc199727543"/>
      <w:bookmarkStart w:id="78" w:name="_Toc416683795"/>
      <w:bookmarkStart w:id="79" w:name="_Toc59631692"/>
      <w:bookmarkStart w:id="80" w:name="_Toc474419129"/>
      <w:bookmarkStart w:id="81" w:name="_Toc13202"/>
      <w:bookmarkStart w:id="82" w:name="_Toc6434"/>
      <w:bookmarkStart w:id="83" w:name="_Toc23950"/>
      <w:r>
        <w:rPr>
          <w:rFonts w:hint="eastAsia" w:ascii="仿宋" w:hAnsi="仿宋" w:eastAsia="仿宋" w:cs="仿宋"/>
          <w:color w:val="auto"/>
          <w:sz w:val="28"/>
          <w:szCs w:val="28"/>
          <w:highlight w:val="none"/>
          <w:lang w:val="en-US" w:eastAsia="zh-CN"/>
        </w:rPr>
        <w:t>1.3.3 设计联络各阶段安排</w:t>
      </w:r>
      <w:bookmarkEnd w:id="77"/>
      <w:bookmarkEnd w:id="78"/>
      <w:bookmarkEnd w:id="79"/>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甲方派出的人员、地点要求如下表：</w:t>
      </w:r>
    </w:p>
    <w:tbl>
      <w:tblPr>
        <w:tblStyle w:val="24"/>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1755"/>
        <w:gridCol w:w="1310"/>
        <w:gridCol w:w="149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6" w:type="dxa"/>
            <w:vMerge w:val="restart"/>
            <w:tcBorders>
              <w:tl2br w:val="single" w:color="auto" w:sz="4" w:space="0"/>
            </w:tcBorders>
            <w:noWrap w:val="0"/>
            <w:vAlign w:val="center"/>
          </w:tcPr>
          <w:p>
            <w:pPr>
              <w:spacing w:line="360" w:lineRule="auto"/>
              <w:ind w:firstLine="1447" w:firstLineChars="517"/>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内容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w:t>
            </w:r>
          </w:p>
        </w:tc>
        <w:tc>
          <w:tcPr>
            <w:tcW w:w="3065" w:type="dxa"/>
            <w:gridSpan w:val="2"/>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第一次设计联络</w:t>
            </w:r>
          </w:p>
        </w:tc>
        <w:tc>
          <w:tcPr>
            <w:tcW w:w="3520" w:type="dxa"/>
            <w:gridSpan w:val="2"/>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第二次设计联络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6" w:type="dxa"/>
            <w:vMerge w:val="continue"/>
            <w:tcBorders>
              <w:tl2br w:val="single" w:color="auto" w:sz="4" w:space="0"/>
            </w:tcBorders>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c>
          <w:tcPr>
            <w:tcW w:w="1755"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人×天数</w:t>
            </w:r>
          </w:p>
        </w:tc>
        <w:tc>
          <w:tcPr>
            <w:tcW w:w="1310"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地点</w:t>
            </w:r>
          </w:p>
        </w:tc>
        <w:tc>
          <w:tcPr>
            <w:tcW w:w="1495"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人×天数</w:t>
            </w:r>
          </w:p>
        </w:tc>
        <w:tc>
          <w:tcPr>
            <w:tcW w:w="202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6"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区间箱</w:t>
            </w:r>
          </w:p>
        </w:tc>
        <w:tc>
          <w:tcPr>
            <w:tcW w:w="1755"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8×1</w:t>
            </w:r>
          </w:p>
        </w:tc>
        <w:tc>
          <w:tcPr>
            <w:tcW w:w="1310"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重庆</w:t>
            </w:r>
          </w:p>
        </w:tc>
        <w:tc>
          <w:tcPr>
            <w:tcW w:w="1495"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13×3</w:t>
            </w:r>
          </w:p>
        </w:tc>
        <w:tc>
          <w:tcPr>
            <w:tcW w:w="2025"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生产商所在地</w:t>
            </w:r>
          </w:p>
        </w:tc>
      </w:tr>
    </w:tbl>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1.4 监造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为保证设备制造的质量符合采购要求，甲方将对配电箱产品制造进行监造，所发生的费用计入投标总价。</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监造的主要内容是对产品的材料和工艺进行控制，使产品整体质量符合招标要求。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乙方应按生产制造进展情况，提前20天提交监造大纲，并通知甲方进行监造。甲方对产品质量的检查、对关键工序的生产监造不减轻乙方所承担的质量责任。</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甲方监造人员所需人日数如下：</w:t>
      </w:r>
    </w:p>
    <w:tbl>
      <w:tblPr>
        <w:tblStyle w:val="24"/>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1845"/>
        <w:gridCol w:w="3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1" w:type="dxa"/>
            <w:vMerge w:val="restart"/>
            <w:tcBorders>
              <w:tl2br w:val="single" w:color="auto" w:sz="4" w:space="0"/>
            </w:tcBorders>
            <w:noWrap w:val="0"/>
            <w:vAlign w:val="center"/>
          </w:tcPr>
          <w:p>
            <w:pPr>
              <w:spacing w:line="360" w:lineRule="auto"/>
              <w:ind w:firstLine="1727" w:firstLineChars="617"/>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内容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w:t>
            </w:r>
          </w:p>
        </w:tc>
        <w:tc>
          <w:tcPr>
            <w:tcW w:w="5790" w:type="dxa"/>
            <w:gridSpan w:val="2"/>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监造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1" w:type="dxa"/>
            <w:vMerge w:val="continue"/>
            <w:tcBorders>
              <w:tl2br w:val="single" w:color="auto" w:sz="4" w:space="0"/>
            </w:tcBorders>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c>
          <w:tcPr>
            <w:tcW w:w="1845"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人×天数</w:t>
            </w:r>
          </w:p>
        </w:tc>
        <w:tc>
          <w:tcPr>
            <w:tcW w:w="394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1"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区间箱</w:t>
            </w:r>
          </w:p>
        </w:tc>
        <w:tc>
          <w:tcPr>
            <w:tcW w:w="184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10×3</w:t>
            </w:r>
          </w:p>
        </w:tc>
        <w:tc>
          <w:tcPr>
            <w:tcW w:w="394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生产商所在地</w:t>
            </w:r>
          </w:p>
        </w:tc>
      </w:tr>
    </w:tbl>
    <w:p>
      <w:pPr>
        <w:spacing w:line="360" w:lineRule="auto"/>
        <w:ind w:firstLine="610" w:firstLineChars="218"/>
        <w:rPr>
          <w:rFonts w:hint="eastAsia" w:ascii="仿宋" w:hAnsi="仿宋" w:eastAsia="仿宋" w:cs="仿宋"/>
          <w:color w:val="auto"/>
          <w:sz w:val="28"/>
          <w:szCs w:val="28"/>
          <w:highlight w:val="none"/>
          <w:lang w:val="en-US" w:eastAsia="zh-CN"/>
        </w:rPr>
      </w:pP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1.5 乙方联络人员在甲方所在地的规定</w:t>
      </w:r>
      <w:bookmarkEnd w:id="80"/>
      <w:bookmarkEnd w:id="81"/>
      <w:bookmarkEnd w:id="82"/>
      <w:bookmarkEnd w:id="83"/>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乙方参加设计联络人员应是对本设备以及对其他系统接口有多年工作经验的健康的工程及设备制造技术人员，人员资质应在出发前提前1个月提交给甲方确认。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工作中需由乙方技术人员对甲方人员进行技术交底及现场示范等。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乙方人员将详细解释技术文件、手册、工程图纸及设备相应的注意事</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为完成上述设计联络和监造工作，必要时乙方应无条件加派人员，费用由乙方承担。</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84" w:name="_Toc474419130"/>
      <w:bookmarkStart w:id="85" w:name="_Toc13848"/>
      <w:bookmarkStart w:id="86" w:name="_Toc13814"/>
      <w:bookmarkStart w:id="87" w:name="_Toc29245"/>
      <w:r>
        <w:rPr>
          <w:rFonts w:hint="eastAsia" w:ascii="仿宋" w:hAnsi="仿宋" w:eastAsia="仿宋" w:cs="仿宋"/>
          <w:color w:val="auto"/>
          <w:sz w:val="28"/>
          <w:szCs w:val="28"/>
          <w:highlight w:val="none"/>
          <w:lang w:val="en-US" w:eastAsia="zh-CN"/>
        </w:rPr>
        <w:t>1.6 甲方人员在乙方处的规定</w:t>
      </w:r>
      <w:bookmarkEnd w:id="84"/>
      <w:bookmarkEnd w:id="85"/>
      <w:bookmarkEnd w:id="86"/>
      <w:bookmarkEnd w:id="87"/>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本规定包括甲方派遣人员参加设计联络会议、监造的具体安排和时间。设计联络提出的每次人数和时间可能有变，但总人数和每一阶段的时间不受影响。监造的总费用不变。</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乙方应指定专门人员接待甲方人员和处理有关工作和生活问题。</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设计联络会议和监造在乙方方进行时，乙方应对甲方派出人员提供便利。</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甲方派出的人员有权向乙方提出质疑并召开会议，讨论有关事项，乙方应积极澄清甲方提出的问题。</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甲方和乙方参加设计联络会议和监造的费用应按上表计算，上述设计联络会及监造报价标准，含异地机票、食宿、当地交通费、保险、医疗、补贴等，乙方应根据上述人日数，报价计入合同总价中。</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88" w:name="_Toc474419131"/>
      <w:bookmarkStart w:id="89" w:name="_Toc6859"/>
      <w:bookmarkStart w:id="90" w:name="_Toc19298"/>
      <w:bookmarkStart w:id="91" w:name="_Toc17712"/>
      <w:r>
        <w:rPr>
          <w:rFonts w:hint="eastAsia" w:ascii="仿宋" w:hAnsi="仿宋" w:eastAsia="仿宋" w:cs="仿宋"/>
          <w:color w:val="auto"/>
          <w:sz w:val="28"/>
          <w:szCs w:val="28"/>
          <w:highlight w:val="none"/>
          <w:lang w:val="en-US" w:eastAsia="zh-CN"/>
        </w:rPr>
        <w:t>1.7 培训</w:t>
      </w:r>
      <w:bookmarkEnd w:id="88"/>
      <w:bookmarkEnd w:id="89"/>
      <w:bookmarkEnd w:id="90"/>
      <w:bookmarkEnd w:id="91"/>
    </w:p>
    <w:p>
      <w:pPr>
        <w:spacing w:line="360" w:lineRule="auto"/>
        <w:ind w:firstLine="610" w:firstLineChars="218"/>
        <w:rPr>
          <w:rFonts w:hint="eastAsia" w:ascii="仿宋" w:hAnsi="仿宋" w:eastAsia="仿宋" w:cs="仿宋"/>
          <w:color w:val="auto"/>
          <w:sz w:val="28"/>
          <w:szCs w:val="28"/>
          <w:highlight w:val="none"/>
          <w:lang w:val="en-US" w:eastAsia="zh-CN"/>
        </w:rPr>
      </w:pPr>
      <w:bookmarkStart w:id="92" w:name="_Toc416683800"/>
      <w:bookmarkStart w:id="93" w:name="_Toc194401138"/>
      <w:bookmarkStart w:id="94" w:name="_Toc199727548"/>
      <w:bookmarkStart w:id="95" w:name="_Toc59631697"/>
      <w:bookmarkStart w:id="96" w:name="_Toc474419134"/>
      <w:bookmarkStart w:id="97" w:name="_Toc16045"/>
      <w:bookmarkStart w:id="98" w:name="_Toc24045"/>
      <w:bookmarkStart w:id="99" w:name="_Toc23925"/>
      <w:r>
        <w:rPr>
          <w:rFonts w:hint="eastAsia" w:ascii="仿宋" w:hAnsi="仿宋" w:eastAsia="仿宋" w:cs="仿宋"/>
          <w:color w:val="auto"/>
          <w:sz w:val="28"/>
          <w:szCs w:val="28"/>
          <w:highlight w:val="none"/>
          <w:lang w:val="en-US" w:eastAsia="zh-CN"/>
        </w:rPr>
        <w:t>1.7.1概述</w:t>
      </w:r>
      <w:bookmarkEnd w:id="92"/>
      <w:bookmarkEnd w:id="93"/>
      <w:bookmarkEnd w:id="94"/>
      <w:bookmarkEnd w:id="95"/>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乙方有责任对甲方的维修、操作和工程管理人员进行培训。通过培训，使接受培训的人员能了解合同内设备的结构、性能，并掌握设备的操作、使用和维修的方法。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通过培训应使受训的甲方人员能够对全部设备提供称职、有效的操作、修理和检查。</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乙方应制订甲方人员的培训方案，包括培训人员、培训内容，并列明培训费用及其计算方法。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因乙方的原因导致技术培训不能按期完成，或原有的设计需要改变，甲方有权要求乙方重新调整培训计划，所有费用应由乙方承担。</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00" w:name="_Toc194401139"/>
      <w:bookmarkStart w:id="101" w:name="_Toc199727549"/>
      <w:r>
        <w:rPr>
          <w:rFonts w:hint="eastAsia" w:ascii="仿宋" w:hAnsi="仿宋" w:eastAsia="仿宋" w:cs="仿宋"/>
          <w:color w:val="auto"/>
          <w:sz w:val="28"/>
          <w:szCs w:val="28"/>
          <w:highlight w:val="none"/>
          <w:lang w:val="en-US" w:eastAsia="zh-CN"/>
        </w:rPr>
        <w:t xml:space="preserve"> </w:t>
      </w:r>
      <w:bookmarkStart w:id="102" w:name="_Toc59631698"/>
      <w:bookmarkStart w:id="103" w:name="_Toc416683801"/>
      <w:r>
        <w:rPr>
          <w:rFonts w:hint="eastAsia" w:ascii="仿宋" w:hAnsi="仿宋" w:eastAsia="仿宋" w:cs="仿宋"/>
          <w:color w:val="auto"/>
          <w:sz w:val="28"/>
          <w:szCs w:val="28"/>
          <w:highlight w:val="none"/>
          <w:lang w:val="en-US" w:eastAsia="zh-CN"/>
        </w:rPr>
        <w:t>1.7.2 培训计划和内容</w:t>
      </w:r>
      <w:bookmarkEnd w:id="100"/>
      <w:bookmarkEnd w:id="101"/>
      <w:bookmarkEnd w:id="102"/>
      <w:bookmarkEnd w:id="103"/>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乙方应提交培训计划交甲方确认，计划应包括：培训的目标、内容、起止时间、使用的培训设施、培训的材料和文件、受训人员的要求、培训地点、授课人员的姓名及职称、课程效果的评估方法。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培训材料应在培训实施前1个月提交给甲方确认。所有培训用材料应易拷贝，音像制品应能拷贝复制，文件应同时提供2份电子拷贝。</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培训应包括操作培训和维护培训两个部分。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为达到培训目的，乙方的培训计划建议表中应包括但不限于本条款中的内容。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 总体概念</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根据培训手册建立对有关设备和系统的总体概念；</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A. 了解、掌握系统的基本概念、原理及功能；</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 了解、掌握低压动力照明系统的配置；</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C. 了解、掌握与其它系统的接口；</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D. 了解、掌握有关规程规范。</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2) 设备和材料及电气元件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A. 了解性能和功能；</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B. 熟悉设备的工作原理；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C. 掌握操作过程。</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3)操作</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操作手册的使用方法</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日常和紧急情况下的设备操作</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 维护</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A. 维护标准、技术参数；</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 维护基本操作及相关注意事项；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C. 维护工具的使用；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D. 提供一套标准的系统维护工具；</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E. 提供可供参考的维护模式及维护周期；</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F. 各设备单元的更换。</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 故障检测</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各类故障识别、分析及排除。</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04" w:name="_Toc199727550"/>
      <w:bookmarkStart w:id="105" w:name="_Toc59631699"/>
      <w:bookmarkStart w:id="106" w:name="_Toc416683802"/>
      <w:bookmarkStart w:id="107" w:name="_Toc194401142"/>
      <w:r>
        <w:rPr>
          <w:rFonts w:hint="eastAsia" w:ascii="仿宋" w:hAnsi="仿宋" w:eastAsia="仿宋" w:cs="仿宋"/>
          <w:color w:val="auto"/>
          <w:sz w:val="28"/>
          <w:szCs w:val="28"/>
          <w:highlight w:val="none"/>
          <w:lang w:val="en-US" w:eastAsia="zh-CN"/>
        </w:rPr>
        <w:t>1.7.3 培训语言</w:t>
      </w:r>
      <w:bookmarkEnd w:id="104"/>
      <w:bookmarkEnd w:id="105"/>
      <w:bookmarkEnd w:id="106"/>
      <w:bookmarkEnd w:id="107"/>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培训语言应为中文。</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08" w:name="_Toc199727552"/>
      <w:bookmarkStart w:id="109" w:name="_Toc194401144"/>
      <w:bookmarkStart w:id="110" w:name="_Toc59631701"/>
      <w:bookmarkStart w:id="111" w:name="_Toc416683804"/>
      <w:r>
        <w:rPr>
          <w:rFonts w:hint="eastAsia" w:ascii="仿宋" w:hAnsi="仿宋" w:eastAsia="仿宋" w:cs="仿宋"/>
          <w:color w:val="auto"/>
          <w:sz w:val="28"/>
          <w:szCs w:val="28"/>
          <w:highlight w:val="none"/>
          <w:lang w:val="en-US" w:eastAsia="zh-CN"/>
        </w:rPr>
        <w:t>1.7.4 培训效果的考核</w:t>
      </w:r>
      <w:bookmarkEnd w:id="108"/>
      <w:bookmarkEnd w:id="109"/>
      <w:bookmarkEnd w:id="110"/>
      <w:bookmarkEnd w:id="111"/>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为使培训人员不断进步而达到培训计划要求，所有培训人员都应经常接受测验和考试，取得进展和足够的培训，并且在培训结束时通过考试，确定他们可否称职地完成将被赋予的任务和工作。</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乙方应在培训前准备并提交一份测验和考试计划，以及详细材料，包括范围、功能和方法，供甲方批准后执行。</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乙方应负责对成功地完成培训的学员颁发通过证书。</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12" w:name="_Toc194401145"/>
      <w:bookmarkStart w:id="113" w:name="_Toc416683805"/>
      <w:bookmarkStart w:id="114" w:name="_Toc59631702"/>
      <w:bookmarkStart w:id="115" w:name="_Toc199727553"/>
      <w:r>
        <w:rPr>
          <w:rFonts w:hint="eastAsia" w:ascii="仿宋" w:hAnsi="仿宋" w:eastAsia="仿宋" w:cs="仿宋"/>
          <w:color w:val="auto"/>
          <w:sz w:val="28"/>
          <w:szCs w:val="28"/>
          <w:highlight w:val="none"/>
          <w:lang w:val="en-US" w:eastAsia="zh-CN"/>
        </w:rPr>
        <w:t>1.7.5 培训费用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工厂培训</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培训成本应包括如下内容：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项目总承包商承担培训设施所在地城市之间的交通及市内的交通费用； 学员的食宿及日常开支、补贴等；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各类培训使用项目总承包商工具、仪表和仿真器的成本，教员以及书本、培训场地费用；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考试及测验、发证等费用； 相关服务费用。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各种设备（不限于此）维修和操作管理培训人数和天数如下表：</w:t>
      </w:r>
    </w:p>
    <w:p>
      <w:pPr>
        <w:spacing w:line="360" w:lineRule="auto"/>
        <w:ind w:firstLine="610" w:firstLineChars="218"/>
        <w:rPr>
          <w:rFonts w:hint="eastAsia" w:ascii="仿宋" w:hAnsi="仿宋" w:eastAsia="仿宋" w:cs="仿宋"/>
          <w:color w:val="auto"/>
          <w:sz w:val="28"/>
          <w:szCs w:val="28"/>
          <w:highlight w:val="none"/>
          <w:lang w:val="en-US" w:eastAsia="zh-CN"/>
        </w:rPr>
      </w:pPr>
    </w:p>
    <w:tbl>
      <w:tblPr>
        <w:tblStyle w:val="24"/>
        <w:tblW w:w="0" w:type="auto"/>
        <w:tblInd w:w="24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31"/>
        <w:gridCol w:w="44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trPr>
        <w:tc>
          <w:tcPr>
            <w:tcW w:w="3831" w:type="dxa"/>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培训项目</w:t>
            </w:r>
          </w:p>
        </w:tc>
        <w:tc>
          <w:tcPr>
            <w:tcW w:w="4449" w:type="dxa"/>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培训人数×天数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3831" w:type="dxa"/>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区间箱</w:t>
            </w:r>
          </w:p>
        </w:tc>
        <w:tc>
          <w:tcPr>
            <w:tcW w:w="4449" w:type="dxa"/>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6×5</w:t>
            </w:r>
          </w:p>
        </w:tc>
      </w:tr>
      <w:bookmarkEnd w:id="112"/>
      <w:bookmarkEnd w:id="113"/>
      <w:bookmarkEnd w:id="114"/>
      <w:bookmarkEnd w:id="115"/>
    </w:tbl>
    <w:p>
      <w:pPr>
        <w:spacing w:line="360" w:lineRule="auto"/>
        <w:rPr>
          <w:rFonts w:hint="eastAsia" w:ascii="仿宋" w:hAnsi="仿宋" w:eastAsia="仿宋" w:cs="仿宋"/>
          <w:color w:val="auto"/>
          <w:sz w:val="28"/>
          <w:szCs w:val="28"/>
          <w:highlight w:val="none"/>
          <w:lang w:val="en-US" w:eastAsia="zh-CN"/>
        </w:rPr>
      </w:pPr>
      <w:bookmarkStart w:id="116" w:name="_Toc194401147"/>
      <w:bookmarkStart w:id="117" w:name="_Toc199727555"/>
      <w:bookmarkStart w:id="118" w:name="_Toc59631704"/>
      <w:r>
        <w:rPr>
          <w:rFonts w:hint="eastAsia" w:ascii="仿宋" w:hAnsi="仿宋" w:eastAsia="仿宋" w:cs="仿宋"/>
          <w:color w:val="auto"/>
          <w:sz w:val="28"/>
          <w:szCs w:val="28"/>
          <w:highlight w:val="none"/>
          <w:lang w:val="en-US" w:eastAsia="zh-CN"/>
        </w:rPr>
        <w:t>1) 在甲方所在地培训</w:t>
      </w:r>
      <w:bookmarkEnd w:id="116"/>
      <w:bookmarkEnd w:id="117"/>
      <w:bookmarkEnd w:id="118"/>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乙方在培训期间所发生的一切费用均自理。培训内容参照下表：</w:t>
      </w:r>
    </w:p>
    <w:tbl>
      <w:tblPr>
        <w:tblStyle w:val="24"/>
        <w:tblW w:w="8280"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500"/>
        <w:gridCol w:w="37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450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培训项目</w:t>
            </w:r>
          </w:p>
        </w:tc>
        <w:tc>
          <w:tcPr>
            <w:tcW w:w="3780" w:type="dxa"/>
            <w:tcBorders>
              <w:left w:val="single" w:color="auto" w:sz="4" w:space="0"/>
            </w:tcBorders>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培训人数×天数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450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区间箱 </w:t>
            </w:r>
          </w:p>
        </w:tc>
        <w:tc>
          <w:tcPr>
            <w:tcW w:w="3780" w:type="dxa"/>
            <w:tcBorders>
              <w:left w:val="single" w:color="auto" w:sz="4" w:space="0"/>
            </w:tcBorders>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20×3</w:t>
            </w:r>
          </w:p>
        </w:tc>
      </w:tr>
    </w:tbl>
    <w:p>
      <w:pPr>
        <w:spacing w:line="360" w:lineRule="auto"/>
        <w:ind w:firstLine="610" w:firstLineChars="218"/>
        <w:rPr>
          <w:rFonts w:hint="eastAsia" w:ascii="仿宋" w:hAnsi="仿宋" w:eastAsia="仿宋" w:cs="仿宋"/>
          <w:color w:val="auto"/>
          <w:sz w:val="28"/>
          <w:szCs w:val="28"/>
          <w:highlight w:val="none"/>
          <w:lang w:val="en-US" w:eastAsia="zh-CN"/>
        </w:rPr>
      </w:pPr>
      <w:bookmarkStart w:id="119" w:name="_Toc194401148"/>
      <w:bookmarkStart w:id="120" w:name="_Toc59631705"/>
      <w:bookmarkStart w:id="121" w:name="_Toc199727556"/>
      <w:r>
        <w:rPr>
          <w:rFonts w:hint="eastAsia" w:ascii="仿宋" w:hAnsi="仿宋" w:eastAsia="仿宋" w:cs="仿宋"/>
          <w:color w:val="auto"/>
          <w:sz w:val="28"/>
          <w:szCs w:val="28"/>
          <w:highlight w:val="none"/>
          <w:lang w:val="en-US" w:eastAsia="zh-CN"/>
        </w:rPr>
        <w:t>现场</w:t>
      </w:r>
      <w:bookmarkEnd w:id="119"/>
      <w:r>
        <w:rPr>
          <w:rFonts w:hint="eastAsia" w:ascii="仿宋" w:hAnsi="仿宋" w:eastAsia="仿宋" w:cs="仿宋"/>
          <w:color w:val="auto"/>
          <w:sz w:val="28"/>
          <w:szCs w:val="28"/>
          <w:highlight w:val="none"/>
          <w:lang w:val="en-US" w:eastAsia="zh-CN"/>
        </w:rPr>
        <w:t>培训服务</w:t>
      </w:r>
      <w:bookmarkEnd w:id="120"/>
      <w:bookmarkEnd w:id="121"/>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现场培训服务是乙方售后服务的内容，应在现场设备使用期间，免费为甲方人员讲解使用说明、操作程序、日常维护等。</w:t>
      </w:r>
      <w:bookmarkEnd w:id="96"/>
      <w:bookmarkEnd w:id="97"/>
      <w:bookmarkEnd w:id="98"/>
      <w:bookmarkEnd w:id="99"/>
    </w:p>
    <w:p>
      <w:pPr>
        <w:spacing w:line="360" w:lineRule="auto"/>
        <w:ind w:firstLine="610" w:firstLineChars="218"/>
        <w:rPr>
          <w:rFonts w:hint="eastAsia" w:ascii="仿宋" w:hAnsi="仿宋" w:eastAsia="仿宋" w:cs="仿宋"/>
          <w:color w:val="auto"/>
          <w:sz w:val="28"/>
          <w:szCs w:val="28"/>
          <w:highlight w:val="none"/>
          <w:lang w:val="en-US" w:eastAsia="zh-CN"/>
        </w:rPr>
      </w:pPr>
      <w:bookmarkStart w:id="122" w:name="_Toc59631706"/>
      <w:bookmarkStart w:id="123" w:name="_Toc416683809"/>
      <w:bookmarkStart w:id="124" w:name="_Toc199727557"/>
      <w:r>
        <w:rPr>
          <w:rFonts w:hint="eastAsia" w:ascii="仿宋" w:hAnsi="仿宋" w:eastAsia="仿宋" w:cs="仿宋"/>
          <w:color w:val="auto"/>
          <w:sz w:val="28"/>
          <w:szCs w:val="28"/>
          <w:highlight w:val="none"/>
          <w:lang w:val="en-US" w:eastAsia="zh-CN"/>
        </w:rPr>
        <w:t xml:space="preserve">2 </w:t>
      </w:r>
      <w:bookmarkEnd w:id="122"/>
      <w:bookmarkEnd w:id="123"/>
      <w:bookmarkEnd w:id="124"/>
      <w:r>
        <w:rPr>
          <w:rFonts w:hint="eastAsia" w:ascii="仿宋" w:hAnsi="仿宋" w:eastAsia="仿宋" w:cs="仿宋"/>
          <w:color w:val="auto"/>
          <w:sz w:val="28"/>
          <w:szCs w:val="28"/>
          <w:highlight w:val="none"/>
          <w:lang w:val="en-US" w:eastAsia="zh-CN"/>
        </w:rPr>
        <w:t>技术文件和图纸</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25" w:name="_Toc59631707"/>
      <w:bookmarkStart w:id="126" w:name="_Toc199727558"/>
      <w:bookmarkStart w:id="127" w:name="_Toc416683810"/>
      <w:r>
        <w:rPr>
          <w:rFonts w:hint="eastAsia" w:ascii="仿宋" w:hAnsi="仿宋" w:eastAsia="仿宋" w:cs="仿宋"/>
          <w:color w:val="auto"/>
          <w:sz w:val="28"/>
          <w:szCs w:val="28"/>
          <w:highlight w:val="none"/>
          <w:lang w:val="en-US" w:eastAsia="zh-CN"/>
        </w:rPr>
        <w:t>2.1概述</w:t>
      </w:r>
      <w:bookmarkEnd w:id="125"/>
      <w:bookmarkEnd w:id="126"/>
      <w:bookmarkEnd w:id="127"/>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向甲方提供的图纸、手册和技术文件应齐全、全面详细地说明系统及其部件的性能、原理、结构和尺寸以及部件的型号、规格和技术参数，使甲方能够实现对设备的操作、检查、修理、试验、调整和维护。有关的设计图纸、软件（含PLC编程软件、应用程序；人机界面编程软件、应用程序；调试软件；程序管理及密码修改等）应无偿提供，承包方不应以产品的保密拒绝提供这些文件，但发包方承诺为承包方保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乙方应对所提供的全部文件、图纸等资料的正确性、完备性和及时性负完全责任，甲方对此的批准并不能减少或解除乙方对于该图正确性所负的责任。</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工程档案要保证档案的完整、准确和系统性。工程档案的案卷质量应符合《科学技术档案构成的一般要求》（GB/T11822）。并符合甲方对技术资料的统一要求。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对频繁使用的参考资料，乙方应提供副本供甲方使用。</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甲方有权在认为文件、图纸和资料等数量不能满足维修需要时，向乙方要求增加必要的图纸。</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乙方提交的文件和图纸均应符合中国的制图标准。所有技术文件、图纸都宜使用中文，字迹清楚，内容完整，采用国际单位制（SI）单位、中国国家标准通用图形和符号。</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电子文件应用Microsoft office 2003 for windows（或以上版本）的形式提交。图形、电路图和机械图等还应提供合适软件平台，如Autocad 2004 for windows（以上版本）等。所有文件都应提交2套电子文件（光盘）。</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甲方为了搞清设备与其他系统的接口，所需要的有关设备的技术资料，当需要和要求时，乙方应予提供。</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图纸、手册和技术文件、相关标准等在设备设计和制造过程中有更新时，乙方应及时向甲方提供最新的更新部分。</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28" w:name="_Toc416683811"/>
      <w:bookmarkStart w:id="129" w:name="_Toc59631708"/>
      <w:bookmarkStart w:id="130" w:name="_Toc199727559"/>
      <w:r>
        <w:rPr>
          <w:rFonts w:hint="eastAsia" w:ascii="仿宋" w:hAnsi="仿宋" w:eastAsia="仿宋" w:cs="仿宋"/>
          <w:color w:val="auto"/>
          <w:sz w:val="28"/>
          <w:szCs w:val="28"/>
          <w:highlight w:val="none"/>
          <w:lang w:val="en-US" w:eastAsia="zh-CN"/>
        </w:rPr>
        <w:t>2.2图纸</w:t>
      </w:r>
      <w:bookmarkEnd w:id="128"/>
      <w:bookmarkEnd w:id="129"/>
      <w:bookmarkEnd w:id="130"/>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乙方应提供设备安装资料、设计所需的图纸和技术说明，并详细说明与各相关系统的接口标准。配合完成设备的安装设计。</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提供图纸的要求：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1）为本项目下动力照明系统设备设计、生产的产品，应提供全部的图纸。</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2）对所有电子设备，应提供电路板的原理方块图、电路图、元件布置图和明细表等。资料应能满足甲方测试，查找到电路板上故障点，可以相应规格的元件更换的要求。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3）电路图和元件布置图上的元件应做出一致的标注，明细表上应写明元件的规格编号，保证甲方可按此规格编号向乙方或从市场上采购到相同的元件。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 如果一张图纸的功能己在另一张图纸中完全实现，可不再单独提供。</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甲方应把图纸和计算的其中l份加盖批准或加注批准后返回给乙方。在后者情形中，图纸上应有标记，说明乙方或甲方为使其符合合同而要求做的修改。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乙方应修改后重新提交5份需要确认的图纸和计算，直到获得批准。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乙方正式提交的图纸和设计文件应有相应的证明（乙方授权代表签字），以表明在此所示的资料已经过乙方审核并对本工程的使用是正确的。仅供参考的图纸必须明确注明，不需批准。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乙方的图纸应提供给有权使用该图纸的甲方，而甲方只将其用于本工程的完成、操作、维护、调整和维修。</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31" w:name="_Toc199727560"/>
      <w:bookmarkStart w:id="132" w:name="_Toc416683812"/>
      <w:bookmarkStart w:id="133" w:name="_Toc59631709"/>
      <w:bookmarkStart w:id="134" w:name="_Toc194401176"/>
      <w:r>
        <w:rPr>
          <w:rFonts w:hint="eastAsia" w:ascii="仿宋" w:hAnsi="仿宋" w:eastAsia="仿宋" w:cs="仿宋"/>
          <w:color w:val="auto"/>
          <w:sz w:val="28"/>
          <w:szCs w:val="28"/>
          <w:highlight w:val="none"/>
          <w:lang w:val="en-US" w:eastAsia="zh-CN"/>
        </w:rPr>
        <w:t>2.3手册</w:t>
      </w:r>
      <w:bookmarkEnd w:id="131"/>
      <w:bookmarkEnd w:id="132"/>
      <w:bookmarkEnd w:id="133"/>
      <w:bookmarkEnd w:id="134"/>
    </w:p>
    <w:p>
      <w:pPr>
        <w:spacing w:line="360" w:lineRule="auto"/>
        <w:ind w:firstLine="610" w:firstLineChars="218"/>
        <w:rPr>
          <w:rFonts w:hint="eastAsia" w:ascii="仿宋" w:hAnsi="仿宋" w:eastAsia="仿宋" w:cs="仿宋"/>
          <w:color w:val="auto"/>
          <w:sz w:val="28"/>
          <w:szCs w:val="28"/>
          <w:highlight w:val="none"/>
          <w:lang w:val="en-US" w:eastAsia="zh-CN"/>
        </w:rPr>
      </w:pPr>
      <w:bookmarkStart w:id="135" w:name="_Toc59631710"/>
      <w:bookmarkStart w:id="136" w:name="_Toc194401177"/>
      <w:bookmarkStart w:id="137" w:name="_Toc416683813"/>
      <w:bookmarkStart w:id="138" w:name="_Toc199727561"/>
      <w:r>
        <w:rPr>
          <w:rFonts w:hint="eastAsia" w:ascii="仿宋" w:hAnsi="仿宋" w:eastAsia="仿宋" w:cs="仿宋"/>
          <w:color w:val="auto"/>
          <w:sz w:val="28"/>
          <w:szCs w:val="28"/>
          <w:highlight w:val="none"/>
          <w:lang w:val="en-US" w:eastAsia="zh-CN"/>
        </w:rPr>
        <w:t>2.3.1操作手册</w:t>
      </w:r>
      <w:bookmarkEnd w:id="135"/>
      <w:bookmarkEnd w:id="136"/>
      <w:bookmarkEnd w:id="137"/>
      <w:bookmarkEnd w:id="138"/>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操作手册应为设备操作人员在设备的操作和检查提供指导。</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操作手册应至少包括以下内容：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1）设备概述；</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2）主要功能说明；</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3）操作指南；</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4）故障状态。</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同类设备，乙方应向甲方提供10套完整的装订好的手册和相应的2套电子文件。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操作手册应用中文编制。</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39" w:name="_Toc194401178"/>
      <w:bookmarkStart w:id="140" w:name="_Toc199727562"/>
      <w:bookmarkStart w:id="141" w:name="_Toc416683814"/>
      <w:bookmarkStart w:id="142" w:name="_Toc59631711"/>
      <w:r>
        <w:rPr>
          <w:rFonts w:hint="eastAsia" w:ascii="仿宋" w:hAnsi="仿宋" w:eastAsia="仿宋" w:cs="仿宋"/>
          <w:color w:val="auto"/>
          <w:sz w:val="28"/>
          <w:szCs w:val="28"/>
          <w:highlight w:val="none"/>
          <w:lang w:val="en-US" w:eastAsia="zh-CN"/>
        </w:rPr>
        <w:t>2.3.2维修手册</w:t>
      </w:r>
      <w:bookmarkEnd w:id="139"/>
      <w:bookmarkEnd w:id="140"/>
      <w:bookmarkEnd w:id="141"/>
      <w:bookmarkEnd w:id="142"/>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维修手册应为设备维修人员的维护、检查、运营、修理和调整提供指导。</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维护文件应包括设备的操作说明以及预防维护和故障维修说明。为故障查找分析和现场修理工作需要提供的操作资料，应包括设备如何操作的简要介绍、总图和方框图说明等。详细的结构图、逻辑图和流程图在需要时也应提供，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手册中含：设备各级检修的内容、要求、方法、程序、设备、工具、材料等方面的详细说明；对主要的故障部件的更换、调整和测试的详细说明。</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乙方应与甲方协商，以合适的格式进行提供。</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同类设备，乙方应提供l0套完整的装订好的手册和2套相应的电子文件。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维修手册应用中文编制。</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43" w:name="_Toc59631712"/>
      <w:bookmarkStart w:id="144" w:name="_Toc194401179"/>
      <w:bookmarkStart w:id="145" w:name="_Toc416683815"/>
      <w:bookmarkStart w:id="146" w:name="_Toc199727563"/>
      <w:r>
        <w:rPr>
          <w:rFonts w:hint="eastAsia" w:ascii="仿宋" w:hAnsi="仿宋" w:eastAsia="仿宋" w:cs="仿宋"/>
          <w:color w:val="auto"/>
          <w:sz w:val="28"/>
          <w:szCs w:val="28"/>
          <w:highlight w:val="none"/>
          <w:lang w:val="en-US" w:eastAsia="zh-CN"/>
        </w:rPr>
        <w:t>2.4技术文件</w:t>
      </w:r>
      <w:bookmarkEnd w:id="143"/>
      <w:bookmarkEnd w:id="144"/>
      <w:bookmarkEnd w:id="145"/>
      <w:bookmarkEnd w:id="146"/>
    </w:p>
    <w:p>
      <w:pPr>
        <w:spacing w:line="360" w:lineRule="auto"/>
        <w:ind w:firstLine="610" w:firstLineChars="218"/>
        <w:rPr>
          <w:rFonts w:hint="eastAsia" w:ascii="仿宋" w:hAnsi="仿宋" w:eastAsia="仿宋" w:cs="仿宋"/>
          <w:color w:val="auto"/>
          <w:sz w:val="28"/>
          <w:szCs w:val="28"/>
          <w:highlight w:val="none"/>
          <w:lang w:val="en-US" w:eastAsia="zh-CN"/>
        </w:rPr>
      </w:pPr>
      <w:bookmarkStart w:id="147" w:name="_Toc59631713"/>
      <w:bookmarkStart w:id="148" w:name="_Toc194401180"/>
      <w:bookmarkStart w:id="149" w:name="_Toc416683816"/>
      <w:bookmarkStart w:id="150" w:name="_Toc199727564"/>
      <w:r>
        <w:rPr>
          <w:rFonts w:hint="eastAsia" w:ascii="仿宋" w:hAnsi="仿宋" w:eastAsia="仿宋" w:cs="仿宋"/>
          <w:color w:val="auto"/>
          <w:sz w:val="28"/>
          <w:szCs w:val="28"/>
          <w:highlight w:val="none"/>
          <w:lang w:val="en-US" w:eastAsia="zh-CN"/>
        </w:rPr>
        <w:t>2.4.1概述</w:t>
      </w:r>
      <w:bookmarkEnd w:id="147"/>
      <w:bookmarkEnd w:id="148"/>
      <w:bookmarkEnd w:id="149"/>
      <w:bookmarkEnd w:id="150"/>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开始本项目各项工作之前，乙方应向甲方提交详细的相关的技术文件（包括图纸、设计、最终设计数据、设计分析和设计计算，以及其他研究资料及详尽的技术参数、试验计划、大纲等）。包括所有外购设备的产品目录、说明、制造厂的产品说明、测试报告、主要特性和手册等，这些资料应能充分表明该设备与合同的要求相符。</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提供的技术文件，其内容须与所提供的设备一致。</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甲方有权复制乙方提供的资料，用于设备的维修管理。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乙方应提供的技术文件应包括但不限于：</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1）设备的过程及最终技术文件；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2）试验大纲及试验报告；</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3）非国标但经双方确认的标准。</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51" w:name="_Toc59631714"/>
      <w:bookmarkStart w:id="152" w:name="_Toc416683817"/>
      <w:bookmarkStart w:id="153" w:name="_Toc199727565"/>
      <w:bookmarkStart w:id="154" w:name="_Toc194401181"/>
      <w:r>
        <w:rPr>
          <w:rFonts w:hint="eastAsia" w:ascii="仿宋" w:hAnsi="仿宋" w:eastAsia="仿宋" w:cs="仿宋"/>
          <w:color w:val="auto"/>
          <w:sz w:val="28"/>
          <w:szCs w:val="28"/>
          <w:highlight w:val="none"/>
          <w:lang w:val="en-US" w:eastAsia="zh-CN"/>
        </w:rPr>
        <w:t>2.4.2最终技术文件</w:t>
      </w:r>
      <w:bookmarkEnd w:id="151"/>
      <w:bookmarkEnd w:id="152"/>
      <w:bookmarkEnd w:id="153"/>
      <w:bookmarkEnd w:id="154"/>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应包括但不限于下列内容：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1）设备总说明；</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2）设备总图、结构图、零部件图；</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3）设备的详细电路图及其说明；</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4）设备的最终技术参数；</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5）设备布置；</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6）计算结果。</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乙方应向甲方提供5份完整的装订好的文件和相应的电子文件。</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55" w:name="_Toc59631715"/>
      <w:bookmarkStart w:id="156" w:name="_Toc194401182"/>
      <w:bookmarkStart w:id="157" w:name="_Toc199727566"/>
      <w:bookmarkStart w:id="158" w:name="_Toc416683818"/>
      <w:r>
        <w:rPr>
          <w:rFonts w:hint="eastAsia" w:ascii="仿宋" w:hAnsi="仿宋" w:eastAsia="仿宋" w:cs="仿宋"/>
          <w:color w:val="auto"/>
          <w:sz w:val="28"/>
          <w:szCs w:val="28"/>
          <w:highlight w:val="none"/>
          <w:lang w:val="en-US" w:eastAsia="zh-CN"/>
        </w:rPr>
        <w:t>2.5试验报告</w:t>
      </w:r>
      <w:bookmarkEnd w:id="155"/>
      <w:bookmarkEnd w:id="156"/>
      <w:bookmarkEnd w:id="157"/>
      <w:bookmarkEnd w:id="158"/>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乙方在设备每一阶段的检验验收测试完成后的2周内向甲方递交一式5份试验报告，试验报告应包括所有测试记录，该记录应详尽到可使甲方得以就其真实性及准确性进行评定。</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该报告的格式应适合确定设备测试程序，并含以正确的顺序列出所需要的全部检验和测试内容。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所有试验结果均应记录在测试报告中，由乙方签字确认。</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59" w:name="_Toc416683819"/>
      <w:bookmarkStart w:id="160" w:name="_Toc59631716"/>
      <w:bookmarkStart w:id="161" w:name="_Toc194401183"/>
      <w:bookmarkStart w:id="162" w:name="_Toc199727567"/>
      <w:r>
        <w:rPr>
          <w:rFonts w:hint="eastAsia" w:ascii="仿宋" w:hAnsi="仿宋" w:eastAsia="仿宋" w:cs="仿宋"/>
          <w:color w:val="auto"/>
          <w:sz w:val="28"/>
          <w:szCs w:val="28"/>
          <w:highlight w:val="none"/>
          <w:lang w:val="en-US" w:eastAsia="zh-CN"/>
        </w:rPr>
        <w:t>2.6图纸、手册和技术文件的确认</w:t>
      </w:r>
      <w:bookmarkEnd w:id="159"/>
      <w:bookmarkEnd w:id="160"/>
      <w:bookmarkEnd w:id="161"/>
      <w:bookmarkEnd w:id="162"/>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在进行项目的任一部份前，应向甲方提交有关的图纸、技术规格、设计标准、分析报告、计算书和规定的所有其他文件，经甲方确认后才可开始使用。正式提交的图纸、说明和设计应具有乙方审核签字，证明提交的资料是用于本工程且正确无误的。</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乙方用于生产的图纸、手册和文件，应是经过甲方确认的图纸、手册和文件。甲方的确认仅表明甲方已同意乙方按图生产，这不能减轻乙方应承担的任何责任。</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如果图纸、手册和文件经过了确认，乙方未经甲方认可不按图生产，甲方有权拒绝接收产品。</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63" w:name="_Toc199727568"/>
      <w:bookmarkStart w:id="164" w:name="_Toc416683820"/>
      <w:bookmarkStart w:id="165" w:name="_Toc59631717"/>
      <w:bookmarkStart w:id="166" w:name="_Toc194401184"/>
      <w:r>
        <w:rPr>
          <w:rFonts w:hint="eastAsia" w:ascii="仿宋" w:hAnsi="仿宋" w:eastAsia="仿宋" w:cs="仿宋"/>
          <w:color w:val="auto"/>
          <w:sz w:val="28"/>
          <w:szCs w:val="28"/>
          <w:highlight w:val="none"/>
          <w:lang w:val="en-US" w:eastAsia="zh-CN"/>
        </w:rPr>
        <w:t>2.7图纸、手册和技术文件的交付</w:t>
      </w:r>
      <w:bookmarkEnd w:id="163"/>
      <w:bookmarkEnd w:id="164"/>
      <w:bookmarkEnd w:id="165"/>
      <w:bookmarkEnd w:id="166"/>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技术文件的交付：</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乙方所提供的技术文件的装运批次、时间及其它条件应符合合同要求。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以邮寄方式递交的技术文件：技术文件交邮后，乙方应在24小时内将技术文件的交邮日期、邮单号、技术文件的详细清单、件数及重量、合同号等以传真或电报通知甲方。</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图纸、手册和技术文件交付清单</w:t>
      </w:r>
    </w:p>
    <w:tbl>
      <w:tblPr>
        <w:tblStyle w:val="24"/>
        <w:tblW w:w="8320"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103"/>
        <w:gridCol w:w="2972"/>
        <w:gridCol w:w="1460"/>
        <w:gridCol w:w="1785"/>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5"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序 号</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文件类型</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份数</w:t>
            </w:r>
          </w:p>
        </w:tc>
        <w:tc>
          <w:tcPr>
            <w:tcW w:w="1785" w:type="dxa"/>
            <w:noWrap w:val="0"/>
            <w:vAlign w:val="center"/>
          </w:tcPr>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交付时间</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35"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安装手册</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p>
        </w:tc>
        <w:tc>
          <w:tcPr>
            <w:tcW w:w="1785" w:type="dxa"/>
            <w:noWrap w:val="0"/>
            <w:vAlign w:val="center"/>
          </w:tcPr>
          <w:p>
            <w:pPr>
              <w:spacing w:line="360" w:lineRule="auto"/>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0"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操作手册</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50"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维修手册</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95"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最终的技术文件</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5"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各类试验大纲和试验报告</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5"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经双方确认的相关标准</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50"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w:t>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其他技术文件</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50"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fldChar w:fldCharType="begin"/>
            </w:r>
            <w:r>
              <w:rPr>
                <w:rFonts w:hint="eastAsia" w:ascii="仿宋" w:hAnsi="仿宋" w:eastAsia="仿宋" w:cs="仿宋"/>
                <w:color w:val="auto"/>
                <w:sz w:val="28"/>
                <w:szCs w:val="28"/>
                <w:highlight w:val="none"/>
                <w:lang w:val="en-US" w:eastAsia="zh-CN"/>
              </w:rPr>
              <w:instrText xml:space="preserve"> = 8 \* GB3 \* MERGEFORMAT </w:instrText>
            </w:r>
            <w:r>
              <w:rPr>
                <w:rFonts w:hint="eastAsia" w:ascii="仿宋" w:hAnsi="仿宋" w:eastAsia="仿宋" w:cs="仿宋"/>
                <w:color w:val="auto"/>
                <w:sz w:val="28"/>
                <w:szCs w:val="28"/>
                <w:highlight w:val="none"/>
                <w:lang w:val="en-US" w:eastAsia="zh-CN"/>
              </w:rPr>
              <w:fldChar w:fldCharType="separate"/>
            </w:r>
            <w:r>
              <w:rPr>
                <w:rFonts w:hint="eastAsia" w:ascii="仿宋" w:hAnsi="仿宋" w:eastAsia="仿宋" w:cs="仿宋"/>
                <w:color w:val="auto"/>
                <w:sz w:val="28"/>
                <w:szCs w:val="28"/>
                <w:highlight w:val="none"/>
                <w:lang w:val="en-US" w:eastAsia="zh-CN"/>
              </w:rPr>
              <w:t>⑧</w:t>
            </w:r>
            <w:r>
              <w:rPr>
                <w:rFonts w:hint="eastAsia" w:ascii="仿宋" w:hAnsi="仿宋" w:eastAsia="仿宋" w:cs="仿宋"/>
                <w:color w:val="auto"/>
                <w:sz w:val="28"/>
                <w:szCs w:val="28"/>
                <w:highlight w:val="none"/>
                <w:lang w:val="en-US" w:eastAsia="zh-CN"/>
              </w:rPr>
              <w:fldChar w:fldCharType="end"/>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系统软件、程序</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2103"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fldChar w:fldCharType="begin"/>
            </w:r>
            <w:r>
              <w:rPr>
                <w:rFonts w:hint="eastAsia" w:ascii="仿宋" w:hAnsi="仿宋" w:eastAsia="仿宋" w:cs="仿宋"/>
                <w:color w:val="auto"/>
                <w:sz w:val="28"/>
                <w:szCs w:val="28"/>
                <w:highlight w:val="none"/>
                <w:lang w:val="en-US" w:eastAsia="zh-CN"/>
              </w:rPr>
              <w:instrText xml:space="preserve"> = 9 \* GB3 \* MERGEFORMAT </w:instrText>
            </w:r>
            <w:r>
              <w:rPr>
                <w:rFonts w:hint="eastAsia" w:ascii="仿宋" w:hAnsi="仿宋" w:eastAsia="仿宋" w:cs="仿宋"/>
                <w:color w:val="auto"/>
                <w:sz w:val="28"/>
                <w:szCs w:val="28"/>
                <w:highlight w:val="none"/>
                <w:lang w:val="en-US" w:eastAsia="zh-CN"/>
              </w:rPr>
              <w:fldChar w:fldCharType="separate"/>
            </w:r>
            <w:r>
              <w:rPr>
                <w:rFonts w:hint="eastAsia" w:ascii="仿宋" w:hAnsi="仿宋" w:eastAsia="仿宋" w:cs="仿宋"/>
                <w:color w:val="auto"/>
                <w:sz w:val="28"/>
                <w:szCs w:val="28"/>
                <w:highlight w:val="none"/>
                <w:lang w:val="en-US" w:eastAsia="zh-CN"/>
              </w:rPr>
              <w:t>⑨</w:t>
            </w:r>
            <w:r>
              <w:rPr>
                <w:rFonts w:hint="eastAsia" w:ascii="仿宋" w:hAnsi="仿宋" w:eastAsia="仿宋" w:cs="仿宋"/>
                <w:color w:val="auto"/>
                <w:sz w:val="28"/>
                <w:szCs w:val="28"/>
                <w:highlight w:val="none"/>
                <w:lang w:val="en-US" w:eastAsia="zh-CN"/>
              </w:rPr>
              <w:fldChar w:fldCharType="end"/>
            </w:r>
          </w:p>
        </w:tc>
        <w:tc>
          <w:tcPr>
            <w:tcW w:w="2972"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加密钥匙</w:t>
            </w:r>
          </w:p>
        </w:tc>
        <w:tc>
          <w:tcPr>
            <w:tcW w:w="1460"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p>
        </w:tc>
        <w:tc>
          <w:tcPr>
            <w:tcW w:w="1785" w:type="dxa"/>
            <w:noWrap w:val="0"/>
            <w:vAlign w:val="center"/>
          </w:tcPr>
          <w:p>
            <w:pPr>
              <w:spacing w:line="360" w:lineRule="auto"/>
              <w:ind w:firstLine="610" w:firstLineChars="218"/>
              <w:rPr>
                <w:rFonts w:hint="eastAsia" w:ascii="仿宋" w:hAnsi="仿宋" w:eastAsia="仿宋" w:cs="仿宋"/>
                <w:color w:val="auto"/>
                <w:sz w:val="28"/>
                <w:szCs w:val="28"/>
                <w:highlight w:val="none"/>
                <w:lang w:val="en-US" w:eastAsia="zh-CN"/>
              </w:rPr>
            </w:pPr>
          </w:p>
        </w:tc>
      </w:tr>
    </w:tbl>
    <w:p>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除试验报告外，所有交付的资料还应提供2份电子文件。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合同执行期间乙方应提供最新的资料交付清单和修改清单，以维持甲方图纸和技术文件的不断更新。</w:t>
      </w:r>
    </w:p>
    <w:p>
      <w:pPr>
        <w:spacing w:line="360" w:lineRule="auto"/>
        <w:ind w:firstLine="610" w:firstLineChars="218"/>
        <w:rPr>
          <w:rFonts w:hint="eastAsia" w:ascii="仿宋" w:hAnsi="仿宋" w:eastAsia="仿宋" w:cs="仿宋"/>
          <w:color w:val="auto"/>
          <w:sz w:val="28"/>
          <w:szCs w:val="28"/>
          <w:highlight w:val="none"/>
          <w:lang w:val="en-US" w:eastAsia="zh-CN"/>
        </w:rPr>
      </w:pPr>
      <w:bookmarkStart w:id="167" w:name="_Toc194401185"/>
      <w:bookmarkStart w:id="168" w:name="_Toc199727569"/>
      <w:bookmarkStart w:id="169" w:name="_Toc59631718"/>
      <w:bookmarkStart w:id="170" w:name="_Toc416683821"/>
      <w:r>
        <w:rPr>
          <w:rFonts w:hint="eastAsia" w:ascii="仿宋" w:hAnsi="仿宋" w:eastAsia="仿宋" w:cs="仿宋"/>
          <w:color w:val="auto"/>
          <w:sz w:val="28"/>
          <w:szCs w:val="28"/>
          <w:highlight w:val="none"/>
          <w:lang w:val="en-US" w:eastAsia="zh-CN"/>
        </w:rPr>
        <w:t>2.8质量保证</w:t>
      </w:r>
      <w:bookmarkEnd w:id="167"/>
      <w:bookmarkEnd w:id="168"/>
      <w:bookmarkEnd w:id="169"/>
      <w:bookmarkEnd w:id="170"/>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确保本项目品质，乙方应严格按照ISO9001质量体系的规定，制定相应的质量控制标准和工程各个阶段的切实可行的质量控制措施和程序。在整个工程过程中，乙方若不能执行质量控制计划，工程将被认为是不能满足合同的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整个合同期间，直至最终验收，甲方将监督乙方在工程各阶段的方法、过程、进程、文本和记录是否符合质量控制计划。</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在工程开始之前，乙方应以书面形式向甲方指明一名授权处理本合同质量控制各种问题的工作人员。</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在投标文件中提供各阶段质保措施包括但不限于以下内容：质量程序文件；质量体系；控制检验程序；设计控制；文件控制；采购；生产过程控制；不合格产品的控制；卸装、储运、包装及发运；记录；内部质量审核、安装、质量保证期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乙方应保证设备供货商具有设备生产所需的一切必备条件（设备、人员、资质、质量管理体系等），并在工程实施前提供供货商资料进行审查，但如果出现甲方认为的严重质量问题，甲方有权要求对其进行更换</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在技术规格书中对设备寿命提出要求的设备，在正常使用和维护条件下，应有乙方保证其寿命符合要求，对明显不符合要求的设备零部件等，乙方应无条件地进行更换。</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若甲方认为有必要，将在设计联络中提出质量保证的完善意见。</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 材料及设备入场验收要求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3.1到场材料、设备抽样验收比例《计数抽样检验程序》（GB/T2828.1）执行，大型设备全检。</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物资到场前，乙方提前一天通知甲方人员物资到场的具体时间，交货地址由甲方指定。产品交付时乙方须派专人负责现场送货、配合验货，提供满足合同、技术规格书、设计联络会相关要求的质量证明文件,要求乙方务必备齐相关物资检验资质证书除主体外包括并不限于全部标准件、外购件、外协件等。备检的资质证书应为原件或复印件并加盖鲜章。如果物资到场计划临时取消或变更，应当立即通知甲方人员。</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3.3检验前乙方应提前将物资按清单内容备齐待检，整个检验环节乙方技术人员必须到场配合验货，乙方各站备检的资质证书成册提供给甲方人员后方开始检验。检验甲供材料、设备资质证书包含但不限于以下几类：出厂检验报告、第三方检测报告、测试卡、厂家资质、产品合格证、产品鉴定书、报关证、授权书、使用说明书和维保手册、3C认证、ISO9001等相关文件。凡是资质证书不为中文，请另行提供中文版或翻译件并加盖鲜章。                                                                                          </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3.4物资相关资质证书检查合格后，甲方人员对照物资外观进行检查，物资外观包装是否完整、外观是否完好、物资表面是否有锈蚀等。</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3.5检验物资实体标注的信息是否与物资随箱资质证书内容相符，如：产品合格证日期是否与物资铭牌或实体标注的日期相符。</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3.6对照物资实体、随箱资质证书内容与合同技术规格书及变更正式书面资料提及的相关内容是否相符合。</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3.7过程中发现以上任何问题，甲方检验人员现场提供问题依据，保留影像资料，验收中止，甲方拒收物资，待问题整改后乙方通知甲方人员再次检验，对于存在异议的物资，以会议记录等正式书面文件为准，未检验合格前不得继续下步工作，直至合格后方可进入后续环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3.7.1 如果后期设备安装调试期间出现质量问题，乙方及厂家对设备进行处理。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3.7.2 一旦出现以下几种情况不予验收：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现场物资资质证书有缺失、资质证书注明日期不在有效期范围内或时间逻辑上有误等。出现以上任何意问题，由乙方整改，整改完成前，甲方不签收货物，由乙方自行整改完成后报甲方确认，确认后再次验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（2）所到物资实体与合同技术规格书提及的设计、制造、试验、检测、验收、安全、电器性能等相关内容不匹配。甲方要求乙方将问题物资退回，待物资重新更换到位后，乙方通知甲方人员重新检验。</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（3）设备外观有损坏，影响或可能影响设备主体使用功能及误送的物资，该物资需进行更换。</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3.8因材料、设备验收不合格产生的一切费用由乙方承担。</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 其他</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4.1、技术协议内容包含但不限于标前承诺，标前谈判纪要，标前技术规格书响应等文件。</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4.2、卖方提供的资料和产品应满足本项目相关验收要求。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4.3、卖方参与进行的本合同设备的设计联络会议纪要也是本合同技术协议的组成部分，与本协议具有同等法律效力，两者如有出入以时间在后的描述为准。</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4.4、涉及消防的产品需满足消防相关规范要求。</w:t>
      </w:r>
    </w:p>
    <w:p>
      <w:pPr>
        <w:spacing w:line="360" w:lineRule="auto"/>
        <w:ind w:firstLine="610" w:firstLineChars="218"/>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4.5、本合同技术协议未尽事宜按照相关规范及标准执行。</w:t>
      </w:r>
    </w:p>
    <w:p>
      <w:pPr>
        <w:rPr>
          <w:rFonts w:hint="eastAsia"/>
          <w:lang w:val="en-US" w:eastAsia="zh-CN"/>
        </w:rPr>
      </w:pPr>
    </w:p>
    <w:p>
      <w:pPr>
        <w:rPr>
          <w:rFonts w:hint="eastAsia"/>
          <w:lang w:val="en-US" w:eastAsia="zh-CN"/>
        </w:rPr>
      </w:pPr>
    </w:p>
    <w:p>
      <w:pPr>
        <w:pStyle w:val="2"/>
        <w:numPr>
          <w:ilvl w:val="0"/>
          <w:numId w:val="0"/>
        </w:numPr>
        <w:snapToGrid w:val="0"/>
        <w:spacing w:before="0" w:after="312" w:afterAutospacing="0" w:line="360" w:lineRule="auto"/>
        <w:jc w:val="center"/>
        <w:rPr>
          <w:rFonts w:hint="eastAsia" w:ascii="仿宋" w:hAnsi="仿宋" w:eastAsia="仿宋" w:cs="仿宋"/>
          <w:snapToGrid w:val="0"/>
          <w:color w:val="auto"/>
          <w:kern w:val="0"/>
          <w:sz w:val="32"/>
          <w:szCs w:val="32"/>
          <w:highlight w:val="none"/>
        </w:rPr>
      </w:pPr>
      <w:bookmarkStart w:id="171" w:name="_Toc4421"/>
      <w:bookmarkStart w:id="172" w:name="_Toc14205"/>
      <w:r>
        <w:rPr>
          <w:rFonts w:hint="eastAsia" w:ascii="仿宋" w:hAnsi="仿宋" w:eastAsia="仿宋" w:cs="仿宋"/>
          <w:snapToGrid w:val="0"/>
          <w:color w:val="auto"/>
          <w:kern w:val="0"/>
          <w:sz w:val="32"/>
          <w:szCs w:val="32"/>
          <w:highlight w:val="none"/>
        </w:rPr>
        <w:br w:type="column"/>
      </w:r>
      <w:r>
        <w:rPr>
          <w:rFonts w:hint="eastAsia" w:ascii="仿宋" w:hAnsi="仿宋" w:eastAsia="仿宋" w:cs="仿宋"/>
          <w:snapToGrid w:val="0"/>
          <w:color w:val="auto"/>
          <w:kern w:val="0"/>
          <w:sz w:val="32"/>
          <w:szCs w:val="32"/>
          <w:highlight w:val="none"/>
        </w:rPr>
        <w:t>第三部分 报价组成</w:t>
      </w:r>
      <w:bookmarkEnd w:id="57"/>
      <w:bookmarkEnd w:id="58"/>
      <w:bookmarkEnd w:id="171"/>
      <w:bookmarkEnd w:id="172"/>
    </w:p>
    <w:p>
      <w:pPr>
        <w:spacing w:line="360" w:lineRule="auto"/>
        <w:ind w:firstLine="560" w:firstLineChars="200"/>
        <w:rPr>
          <w:rFonts w:hint="default" w:ascii="仿宋" w:hAnsi="仿宋" w:eastAsia="仿宋" w:cs="仿宋"/>
          <w:color w:val="auto"/>
          <w:sz w:val="28"/>
          <w:szCs w:val="28"/>
          <w:highlight w:val="none"/>
          <w:lang w:val="en-US" w:eastAsia="zh-CN"/>
        </w:rPr>
      </w:pPr>
      <w:bookmarkStart w:id="173" w:name="_Toc18413"/>
      <w:r>
        <w:rPr>
          <w:rFonts w:hint="eastAsia" w:ascii="仿宋" w:hAnsi="仿宋" w:eastAsia="仿宋" w:cs="仿宋"/>
          <w:color w:val="auto"/>
          <w:sz w:val="28"/>
          <w:szCs w:val="28"/>
          <w:highlight w:val="none"/>
          <w:lang w:val="en-US" w:eastAsia="zh-CN"/>
        </w:rPr>
        <w:t>1.</w:t>
      </w:r>
      <w:bookmarkEnd w:id="173"/>
      <w:r>
        <w:rPr>
          <w:rFonts w:hint="eastAsia" w:ascii="仿宋" w:hAnsi="仿宋" w:eastAsia="仿宋" w:cs="仿宋"/>
          <w:color w:val="auto"/>
          <w:sz w:val="28"/>
          <w:szCs w:val="28"/>
          <w:highlight w:val="none"/>
          <w:lang w:val="en-US" w:eastAsia="zh-CN"/>
        </w:rPr>
        <w:t>报价与结算原则：本项目采用工程量清单计价模式，综合单价包干。</w:t>
      </w:r>
    </w:p>
    <w:p>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报价范围：各</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对</w:t>
      </w:r>
      <w:r>
        <w:rPr>
          <w:rFonts w:hint="eastAsia" w:ascii="仿宋" w:hAnsi="仿宋" w:eastAsia="仿宋" w:cs="仿宋"/>
          <w:color w:val="auto"/>
          <w:sz w:val="28"/>
          <w:szCs w:val="28"/>
          <w:highlight w:val="none"/>
          <w:lang w:val="en-US" w:eastAsia="zh-CN"/>
        </w:rPr>
        <w:t>比选</w:t>
      </w:r>
      <w:r>
        <w:rPr>
          <w:rFonts w:hint="eastAsia" w:ascii="仿宋" w:hAnsi="仿宋" w:eastAsia="仿宋" w:cs="仿宋"/>
          <w:color w:val="auto"/>
          <w:sz w:val="28"/>
          <w:szCs w:val="28"/>
          <w:highlight w:val="none"/>
        </w:rPr>
        <w:t>范围内的所有工程量内容进行报价。</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价格组成：</w:t>
      </w:r>
      <w:r>
        <w:rPr>
          <w:rFonts w:hint="eastAsia" w:ascii="仿宋" w:hAnsi="仿宋" w:eastAsia="仿宋" w:cs="仿宋"/>
          <w:color w:val="auto"/>
          <w:sz w:val="28"/>
          <w:szCs w:val="28"/>
          <w:highlight w:val="none"/>
          <w:lang w:eastAsia="zh-CN"/>
        </w:rPr>
        <w:t>包括但不限于完成合同实施和完成本工程范围内系统设备及器材的制造、包装运输、仓储、安装督导、各类配合及质保期内服务所需费用；设计联络、供货协调、驻厂监造、出厂验收、人员培训（包括第二次设计联络、驻厂监造、出厂验收、工厂培训等活动的人员提供办公环境、食宿、交通（（其中，远途交通以航空方式为主）等费用）、文件资料、随机专用工具、随机试验设备、随机备品备件等所需费用；技术专利、保险、缺陷修复、管理、利润、税金及其它相关服务等费用，以及本合同中明示或暗示的所有一切风险、责任和义务等费用。</w:t>
      </w:r>
    </w:p>
    <w:p>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报价以比选文件所提供的数量为准，如果相同型号如出现两种及两种以上不同报价的，以最低价为准。</w:t>
      </w:r>
    </w:p>
    <w:p>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送货地址：</w:t>
      </w:r>
      <w:r>
        <w:rPr>
          <w:rFonts w:hint="eastAsia" w:ascii="仿宋" w:hAnsi="仿宋" w:eastAsia="仿宋" w:cs="仿宋"/>
          <w:color w:val="auto"/>
          <w:sz w:val="28"/>
          <w:szCs w:val="28"/>
          <w:highlight w:val="none"/>
          <w:lang w:eastAsia="zh-CN"/>
        </w:rPr>
        <w:t>重庆轨道交通九号线二期工程</w:t>
      </w:r>
      <w:r>
        <w:rPr>
          <w:rFonts w:hint="eastAsia" w:ascii="仿宋" w:hAnsi="仿宋" w:eastAsia="仿宋" w:cs="仿宋"/>
          <w:color w:val="auto"/>
          <w:sz w:val="28"/>
          <w:szCs w:val="28"/>
          <w:highlight w:val="none"/>
        </w:rPr>
        <w:t>各站点施工现场</w:t>
      </w:r>
      <w:r>
        <w:rPr>
          <w:rFonts w:hint="eastAsia" w:ascii="仿宋" w:hAnsi="仿宋" w:eastAsia="仿宋" w:cs="仿宋"/>
          <w:color w:val="auto"/>
          <w:sz w:val="28"/>
          <w:szCs w:val="28"/>
          <w:highlight w:val="none"/>
          <w:lang w:eastAsia="zh-CN"/>
        </w:rPr>
        <w:t>。</w:t>
      </w:r>
    </w:p>
    <w:p>
      <w:pPr>
        <w:rPr>
          <w:rFonts w:hint="eastAsia" w:ascii="仿宋" w:hAnsi="仿宋" w:eastAsia="仿宋" w:cs="仿宋"/>
          <w:snapToGrid w:val="0"/>
          <w:color w:val="auto"/>
          <w:kern w:val="0"/>
          <w:sz w:val="32"/>
          <w:szCs w:val="32"/>
          <w:highlight w:val="none"/>
        </w:rPr>
      </w:pPr>
      <w:bookmarkStart w:id="174" w:name="_Toc29631"/>
      <w:bookmarkStart w:id="175" w:name="_Toc30731"/>
      <w:r>
        <w:rPr>
          <w:rFonts w:hint="eastAsia" w:ascii="仿宋" w:hAnsi="仿宋" w:eastAsia="仿宋" w:cs="仿宋"/>
          <w:snapToGrid w:val="0"/>
          <w:color w:val="auto"/>
          <w:kern w:val="0"/>
          <w:sz w:val="32"/>
          <w:szCs w:val="32"/>
          <w:highlight w:val="none"/>
        </w:rPr>
        <w:br w:type="page"/>
      </w:r>
    </w:p>
    <w:p>
      <w:pPr>
        <w:pStyle w:val="2"/>
        <w:snapToGrid w:val="0"/>
        <w:spacing w:before="0" w:after="0" w:line="360" w:lineRule="auto"/>
        <w:jc w:val="center"/>
        <w:rPr>
          <w:rFonts w:hint="default" w:ascii="仿宋" w:hAnsi="仿宋" w:eastAsia="仿宋" w:cs="仿宋"/>
          <w:snapToGrid w:val="0"/>
          <w:color w:val="auto"/>
          <w:kern w:val="0"/>
          <w:sz w:val="32"/>
          <w:szCs w:val="32"/>
          <w:highlight w:val="none"/>
          <w:lang w:val="en-US" w:eastAsia="zh-CN"/>
        </w:rPr>
      </w:pPr>
      <w:bookmarkStart w:id="176" w:name="_Toc12596"/>
      <w:bookmarkStart w:id="177" w:name="_Toc21729"/>
      <w:r>
        <w:rPr>
          <w:rFonts w:hint="eastAsia" w:ascii="仿宋" w:hAnsi="仿宋" w:eastAsia="仿宋" w:cs="仿宋"/>
          <w:snapToGrid w:val="0"/>
          <w:color w:val="auto"/>
          <w:kern w:val="0"/>
          <w:sz w:val="32"/>
          <w:szCs w:val="32"/>
          <w:highlight w:val="none"/>
        </w:rPr>
        <w:t>第四部分 参选文件格式</w:t>
      </w:r>
      <w:bookmarkEnd w:id="174"/>
      <w:bookmarkEnd w:id="175"/>
      <w:r>
        <w:rPr>
          <w:rFonts w:hint="eastAsia" w:ascii="仿宋" w:hAnsi="仿宋" w:eastAsia="仿宋" w:cs="仿宋"/>
          <w:snapToGrid w:val="0"/>
          <w:color w:val="auto"/>
          <w:kern w:val="0"/>
          <w:sz w:val="32"/>
          <w:szCs w:val="32"/>
          <w:highlight w:val="none"/>
          <w:lang w:val="en-US" w:eastAsia="zh-CN"/>
        </w:rPr>
        <w:t>和编制要求</w:t>
      </w:r>
      <w:bookmarkEnd w:id="176"/>
      <w:bookmarkEnd w:id="177"/>
    </w:p>
    <w:p>
      <w:pPr>
        <w:rPr>
          <w:color w:val="auto"/>
          <w:highlight w:val="none"/>
        </w:rPr>
      </w:pPr>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应仔细阅读比选文件，了解比选文件的要求。在完全了解比选货物的要求及商务条件后，编制参选文件。</w:t>
      </w:r>
    </w:p>
    <w:p>
      <w:pPr>
        <w:pStyle w:val="4"/>
        <w:spacing w:line="360" w:lineRule="auto"/>
        <w:rPr>
          <w:rFonts w:ascii="仿宋" w:hAnsi="仿宋" w:eastAsia="仿宋" w:cs="仿宋"/>
          <w:color w:val="auto"/>
          <w:sz w:val="28"/>
          <w:szCs w:val="28"/>
          <w:highlight w:val="none"/>
        </w:rPr>
      </w:pPr>
      <w:bookmarkStart w:id="178" w:name="_Toc10554"/>
      <w:bookmarkStart w:id="179" w:name="_Toc14887"/>
      <w:bookmarkStart w:id="180" w:name="_Toc12915"/>
      <w:bookmarkStart w:id="181" w:name="_Toc32077"/>
      <w:r>
        <w:rPr>
          <w:rFonts w:hint="eastAsia" w:ascii="仿宋" w:hAnsi="仿宋" w:eastAsia="仿宋" w:cs="仿宋"/>
          <w:color w:val="auto"/>
          <w:sz w:val="28"/>
          <w:szCs w:val="28"/>
          <w:highlight w:val="none"/>
        </w:rPr>
        <w:t>1.参选文件的语言及计量单位</w:t>
      </w:r>
      <w:bookmarkEnd w:id="178"/>
      <w:bookmarkEnd w:id="179"/>
      <w:bookmarkEnd w:id="180"/>
      <w:bookmarkEnd w:id="181"/>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的参选文件以及</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就有关参选的所有来往函电均应使用中文。</w:t>
      </w:r>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1.2参选文件中所使用的计量单位除比选文件中有特殊规定外，一律使用法定计量单位SI制。</w:t>
      </w:r>
    </w:p>
    <w:p>
      <w:pPr>
        <w:pStyle w:val="4"/>
        <w:spacing w:line="360" w:lineRule="auto"/>
        <w:rPr>
          <w:rFonts w:ascii="仿宋" w:hAnsi="仿宋" w:eastAsia="仿宋" w:cs="仿宋"/>
          <w:color w:val="auto"/>
          <w:sz w:val="28"/>
          <w:szCs w:val="28"/>
          <w:highlight w:val="none"/>
        </w:rPr>
      </w:pPr>
      <w:bookmarkStart w:id="182" w:name="_Toc24253"/>
      <w:bookmarkStart w:id="183" w:name="_Toc20770"/>
      <w:bookmarkStart w:id="184" w:name="_Toc964"/>
      <w:bookmarkStart w:id="185" w:name="_Toc23939"/>
      <w:r>
        <w:rPr>
          <w:rFonts w:hint="eastAsia" w:ascii="仿宋" w:hAnsi="仿宋" w:eastAsia="仿宋" w:cs="仿宋"/>
          <w:color w:val="auto"/>
          <w:sz w:val="28"/>
          <w:szCs w:val="28"/>
          <w:highlight w:val="none"/>
        </w:rPr>
        <w:t>2.参选货币</w:t>
      </w:r>
      <w:bookmarkEnd w:id="182"/>
      <w:bookmarkEnd w:id="183"/>
      <w:bookmarkEnd w:id="184"/>
      <w:bookmarkEnd w:id="185"/>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参选应以人民币报价。</w:t>
      </w:r>
    </w:p>
    <w:p>
      <w:pPr>
        <w:pStyle w:val="4"/>
        <w:spacing w:line="360" w:lineRule="auto"/>
        <w:rPr>
          <w:rFonts w:ascii="仿宋" w:hAnsi="仿宋" w:eastAsia="仿宋" w:cs="仿宋"/>
          <w:color w:val="auto"/>
          <w:sz w:val="28"/>
          <w:szCs w:val="28"/>
          <w:highlight w:val="none"/>
        </w:rPr>
      </w:pPr>
      <w:bookmarkStart w:id="186" w:name="_Toc22567"/>
      <w:bookmarkStart w:id="187" w:name="_Toc20337"/>
      <w:bookmarkStart w:id="188" w:name="_Toc6684"/>
      <w:bookmarkStart w:id="189" w:name="_Toc13884"/>
      <w:r>
        <w:rPr>
          <w:rFonts w:hint="eastAsia" w:ascii="仿宋" w:hAnsi="仿宋" w:eastAsia="仿宋" w:cs="仿宋"/>
          <w:color w:val="auto"/>
          <w:sz w:val="28"/>
          <w:szCs w:val="28"/>
          <w:highlight w:val="none"/>
        </w:rPr>
        <w:t>3.参选文件</w:t>
      </w:r>
      <w:r>
        <w:rPr>
          <w:rFonts w:hint="eastAsia" w:ascii="仿宋" w:hAnsi="仿宋" w:eastAsia="仿宋" w:cs="仿宋"/>
          <w:color w:val="auto"/>
          <w:sz w:val="28"/>
          <w:szCs w:val="28"/>
          <w:highlight w:val="none"/>
          <w:lang w:val="en-US" w:eastAsia="zh-CN"/>
        </w:rPr>
        <w:t>的编制</w:t>
      </w:r>
      <w:r>
        <w:rPr>
          <w:rFonts w:hint="eastAsia" w:ascii="仿宋" w:hAnsi="仿宋" w:eastAsia="仿宋" w:cs="仿宋"/>
          <w:color w:val="auto"/>
          <w:sz w:val="28"/>
          <w:szCs w:val="28"/>
          <w:highlight w:val="none"/>
        </w:rPr>
        <w:t>要求</w:t>
      </w:r>
      <w:bookmarkEnd w:id="186"/>
      <w:bookmarkEnd w:id="187"/>
      <w:bookmarkEnd w:id="188"/>
      <w:bookmarkEnd w:id="189"/>
    </w:p>
    <w:p>
      <w:pPr>
        <w:adjustRightInd w:val="0"/>
        <w:snapToGrid w:val="0"/>
        <w:spacing w:line="360" w:lineRule="auto"/>
        <w:rPr>
          <w:rFonts w:hint="default" w:ascii="仿宋" w:hAnsi="仿宋" w:eastAsia="仿宋" w:cs="仿宋"/>
          <w:b/>
          <w:bCs/>
          <w:color w:val="auto"/>
          <w:sz w:val="28"/>
          <w:szCs w:val="28"/>
          <w:highlight w:val="none"/>
          <w:u w:val="single"/>
          <w:lang w:val="en-US"/>
        </w:rPr>
      </w:pPr>
      <w:r>
        <w:rPr>
          <w:rFonts w:hint="eastAsia" w:ascii="仿宋" w:hAnsi="仿宋" w:eastAsia="仿宋" w:cs="仿宋"/>
          <w:b/>
          <w:bCs/>
          <w:color w:val="auto"/>
          <w:sz w:val="28"/>
          <w:szCs w:val="28"/>
          <w:highlight w:val="none"/>
          <w:u w:val="single"/>
          <w:lang w:val="en-US" w:eastAsia="zh-CN"/>
        </w:rPr>
        <w:t>1、纸质件：</w:t>
      </w:r>
      <w:r>
        <w:rPr>
          <w:rFonts w:hint="eastAsia" w:ascii="仿宋" w:hAnsi="仿宋" w:eastAsia="仿宋" w:cs="仿宋"/>
          <w:b/>
          <w:bCs/>
          <w:color w:val="auto"/>
          <w:sz w:val="28"/>
          <w:szCs w:val="28"/>
          <w:highlight w:val="none"/>
          <w:u w:val="single"/>
        </w:rPr>
        <w:t>参选文件需提交纸质</w:t>
      </w:r>
      <w:r>
        <w:rPr>
          <w:rFonts w:hint="eastAsia" w:ascii="仿宋" w:hAnsi="仿宋" w:eastAsia="仿宋" w:cs="仿宋"/>
          <w:b/>
          <w:bCs/>
          <w:color w:val="auto"/>
          <w:sz w:val="28"/>
          <w:szCs w:val="28"/>
          <w:highlight w:val="none"/>
          <w:u w:val="single"/>
          <w:lang w:val="en-US" w:eastAsia="zh-CN"/>
        </w:rPr>
        <w:t>文件（加盖鲜公章）2份</w:t>
      </w:r>
    </w:p>
    <w:p>
      <w:pPr>
        <w:adjustRightInd w:val="0"/>
        <w:snapToGrid w:val="0"/>
        <w:spacing w:line="360" w:lineRule="auto"/>
        <w:rPr>
          <w:rFonts w:hint="default" w:ascii="仿宋" w:hAnsi="仿宋" w:eastAsia="仿宋" w:cs="仿宋"/>
          <w:color w:val="auto"/>
          <w:sz w:val="28"/>
          <w:szCs w:val="28"/>
          <w:highlight w:val="none"/>
          <w:lang w:val="en-US"/>
        </w:rPr>
      </w:pPr>
      <w:r>
        <w:rPr>
          <w:rFonts w:hint="eastAsia" w:ascii="仿宋" w:hAnsi="仿宋" w:eastAsia="仿宋" w:cs="仿宋"/>
          <w:b/>
          <w:bCs/>
          <w:color w:val="auto"/>
          <w:sz w:val="28"/>
          <w:szCs w:val="28"/>
          <w:highlight w:val="none"/>
          <w:u w:val="single"/>
          <w:lang w:val="en-US" w:eastAsia="zh-CN"/>
        </w:rPr>
        <w:t>2、电子件：电子件拷贝至U盘或光盘              1份</w:t>
      </w:r>
    </w:p>
    <w:p>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参选文件格式</w:t>
      </w:r>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投标函      (详见附件一)</w:t>
      </w:r>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参选报价表  (详见附件二)</w:t>
      </w:r>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技术偏离表  (详见附件三)</w:t>
      </w:r>
    </w:p>
    <w:p>
      <w:pPr>
        <w:adjustRightInd w:val="0"/>
        <w:snapToGrid w:val="0"/>
        <w:spacing w:line="360" w:lineRule="auto"/>
        <w:ind w:firstLine="700" w:firstLineChars="250"/>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rPr>
        <w:t>3.4   参选承诺函 （详见附件四）</w:t>
      </w:r>
    </w:p>
    <w:p>
      <w:pPr>
        <w:adjustRightInd w:val="0"/>
        <w:snapToGrid w:val="0"/>
        <w:spacing w:line="360" w:lineRule="auto"/>
        <w:ind w:firstLine="700" w:firstLineChars="25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3.5  售后维保服务体系及承诺（格式自拟）</w:t>
      </w:r>
    </w:p>
    <w:p>
      <w:pPr>
        <w:adjustRightInd w:val="0"/>
        <w:snapToGrid w:val="0"/>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3.6  资格审查文件</w:t>
      </w:r>
    </w:p>
    <w:p>
      <w:pPr>
        <w:adjustRightInd w:val="0"/>
        <w:snapToGrid w:val="0"/>
        <w:spacing w:line="360" w:lineRule="auto"/>
        <w:ind w:firstLine="700" w:firstLineChars="2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）营业执照副本的复印件</w:t>
      </w:r>
    </w:p>
    <w:p>
      <w:pPr>
        <w:adjustRightInd w:val="0"/>
        <w:snapToGrid w:val="0"/>
        <w:spacing w:line="360" w:lineRule="auto"/>
        <w:ind w:firstLine="700" w:firstLineChars="2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）法人代表授权书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若法人直接参与则不需要提供</w:t>
      </w:r>
      <w:r>
        <w:rPr>
          <w:rFonts w:hint="eastAsia" w:ascii="仿宋" w:hAnsi="仿宋" w:eastAsia="仿宋" w:cs="仿宋"/>
          <w:color w:val="auto"/>
          <w:sz w:val="28"/>
          <w:szCs w:val="28"/>
          <w:highlight w:val="none"/>
        </w:rPr>
        <w:t>(详见附件五)</w:t>
      </w:r>
    </w:p>
    <w:p>
      <w:pPr>
        <w:adjustRightInd w:val="0"/>
        <w:snapToGrid w:val="0"/>
        <w:spacing w:line="360" w:lineRule="auto"/>
        <w:ind w:firstLine="700" w:firstLineChars="25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一般纳税人证明资料</w:t>
      </w:r>
    </w:p>
    <w:p>
      <w:pPr>
        <w:adjustRightInd w:val="0"/>
        <w:snapToGrid w:val="0"/>
        <w:spacing w:line="360" w:lineRule="auto"/>
        <w:ind w:firstLine="700" w:firstLineChars="25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供货业绩（见参选人须知）</w:t>
      </w:r>
    </w:p>
    <w:p>
      <w:pPr>
        <w:adjustRightInd w:val="0"/>
        <w:snapToGrid w:val="0"/>
        <w:spacing w:line="360" w:lineRule="auto"/>
        <w:ind w:firstLine="700" w:firstLineChars="25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）产品检测报告</w:t>
      </w:r>
    </w:p>
    <w:p>
      <w:pPr>
        <w:adjustRightInd w:val="0"/>
        <w:snapToGrid w:val="0"/>
        <w:spacing w:line="360" w:lineRule="auto"/>
        <w:ind w:firstLine="700" w:firstLineChars="25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参选人其他需要补充说明的资料</w:t>
      </w:r>
    </w:p>
    <w:p>
      <w:pPr>
        <w:adjustRightInd w:val="0"/>
        <w:snapToGrid w:val="0"/>
        <w:spacing w:line="360" w:lineRule="auto"/>
        <w:ind w:firstLine="703" w:firstLineChars="250"/>
        <w:rPr>
          <w:rFonts w:hint="default"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u w:val="single"/>
        </w:rPr>
        <w:t>（所有提供的资料，必须每页加盖</w:t>
      </w:r>
      <w:r>
        <w:rPr>
          <w:rFonts w:hint="eastAsia" w:ascii="仿宋" w:hAnsi="仿宋" w:eastAsia="仿宋" w:cs="仿宋"/>
          <w:b/>
          <w:bCs/>
          <w:color w:val="auto"/>
          <w:sz w:val="28"/>
          <w:szCs w:val="28"/>
          <w:highlight w:val="none"/>
          <w:u w:val="single"/>
          <w:lang w:val="en-US" w:eastAsia="zh-CN"/>
        </w:rPr>
        <w:t>公</w:t>
      </w:r>
      <w:r>
        <w:rPr>
          <w:rFonts w:hint="eastAsia" w:ascii="仿宋" w:hAnsi="仿宋" w:eastAsia="仿宋" w:cs="仿宋"/>
          <w:b/>
          <w:bCs/>
          <w:color w:val="auto"/>
          <w:sz w:val="28"/>
          <w:szCs w:val="28"/>
          <w:highlight w:val="none"/>
          <w:u w:val="single"/>
        </w:rPr>
        <w:t>章）</w:t>
      </w:r>
      <w:r>
        <w:rPr>
          <w:rFonts w:hint="eastAsia" w:ascii="仿宋" w:hAnsi="仿宋" w:eastAsia="仿宋" w:cs="仿宋"/>
          <w:b/>
          <w:bCs/>
          <w:color w:val="FF0000"/>
          <w:sz w:val="28"/>
          <w:szCs w:val="28"/>
          <w:highlight w:val="none"/>
          <w:u w:val="single"/>
          <w:lang w:val="en-US" w:eastAsia="zh-CN"/>
        </w:rPr>
        <w:t>是否需要骑缝章</w:t>
      </w:r>
    </w:p>
    <w:p>
      <w:pPr>
        <w:pStyle w:val="4"/>
        <w:spacing w:line="360" w:lineRule="auto"/>
        <w:rPr>
          <w:rFonts w:ascii="仿宋" w:hAnsi="仿宋" w:eastAsia="仿宋" w:cs="仿宋"/>
          <w:color w:val="auto"/>
          <w:sz w:val="28"/>
          <w:szCs w:val="28"/>
          <w:highlight w:val="none"/>
        </w:rPr>
      </w:pPr>
      <w:bookmarkStart w:id="190" w:name="_Toc6507"/>
      <w:bookmarkStart w:id="191" w:name="_Toc3173"/>
      <w:bookmarkStart w:id="192" w:name="_Toc19840"/>
      <w:bookmarkStart w:id="193" w:name="_Toc30157"/>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.参选文件的提交方式、密封及其签署</w:t>
      </w:r>
      <w:bookmarkEnd w:id="190"/>
      <w:bookmarkEnd w:id="191"/>
      <w:bookmarkEnd w:id="192"/>
      <w:bookmarkEnd w:id="193"/>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 提交方式：</w:t>
      </w:r>
    </w:p>
    <w:p>
      <w:pPr>
        <w:spacing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（1）参选文件“正本”一份，电子文件一份。</w:t>
      </w:r>
    </w:p>
    <w:p>
      <w:pPr>
        <w:spacing w:line="360" w:lineRule="auto"/>
        <w:ind w:firstLine="630" w:firstLineChars="22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（2）“正本”内容（内容要求详见“第四部分参选文件格式”）。</w:t>
      </w:r>
    </w:p>
    <w:p>
      <w:pPr>
        <w:spacing w:after="240" w:line="360" w:lineRule="auto"/>
        <w:ind w:firstLine="610" w:firstLineChars="21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.2 </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应将参选文件密封，封口处应</w:t>
      </w:r>
      <w:r>
        <w:rPr>
          <w:rFonts w:hint="eastAsia" w:ascii="仿宋" w:hAnsi="仿宋" w:eastAsia="仿宋" w:cs="仿宋"/>
          <w:color w:val="auto"/>
          <w:sz w:val="28"/>
          <w:szCs w:val="28"/>
          <w:highlight w:val="none"/>
          <w:lang w:val="en-US" w:eastAsia="zh-CN"/>
        </w:rPr>
        <w:t>加盖</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lang w:val="en-US" w:eastAsia="zh-CN"/>
        </w:rPr>
        <w:t>公章</w:t>
      </w:r>
      <w:r>
        <w:rPr>
          <w:rFonts w:hint="eastAsia" w:ascii="仿宋" w:hAnsi="仿宋" w:eastAsia="仿宋" w:cs="仿宋"/>
          <w:color w:val="auto"/>
          <w:sz w:val="28"/>
          <w:szCs w:val="28"/>
          <w:highlight w:val="none"/>
        </w:rPr>
        <w:t>；封皮上应注明比选项目名称、</w:t>
      </w: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名称。并应在“参选文件”袋封套上写明如下内容：</w:t>
      </w:r>
    </w:p>
    <w:tbl>
      <w:tblPr>
        <w:tblStyle w:val="24"/>
        <w:tblW w:w="91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36" w:type="dxa"/>
          </w:tcPr>
          <w:p>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比选人的地址：</w:t>
            </w:r>
            <w:r>
              <w:rPr>
                <w:rFonts w:hint="eastAsia" w:ascii="仿宋" w:hAnsi="仿宋" w:eastAsia="仿宋" w:cs="仿宋"/>
                <w:bCs/>
                <w:color w:val="000000"/>
                <w:sz w:val="28"/>
                <w:szCs w:val="28"/>
                <w:highlight w:val="none"/>
              </w:rPr>
              <w:t>重庆市北部新区黄山大道中段信达国际A座17</w:t>
            </w:r>
            <w:r>
              <w:rPr>
                <w:rFonts w:hint="eastAsia" w:ascii="仿宋" w:hAnsi="仿宋" w:eastAsia="仿宋" w:cs="仿宋"/>
                <w:bCs/>
                <w:color w:val="000000"/>
                <w:sz w:val="28"/>
                <w:szCs w:val="28"/>
                <w:highlight w:val="none"/>
                <w:lang w:val="en-US" w:eastAsia="zh-CN"/>
              </w:rPr>
              <w:t>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36" w:type="dxa"/>
          </w:tcPr>
          <w:p>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36" w:type="dxa"/>
          </w:tcPr>
          <w:p>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重庆轨道交通九号线二期工程（兴科大道～花石沟）风水电系统</w:t>
            </w:r>
            <w:r>
              <w:rPr>
                <w:rFonts w:hint="eastAsia" w:ascii="仿宋" w:hAnsi="仿宋" w:eastAsia="仿宋" w:cs="仿宋"/>
                <w:color w:val="auto"/>
                <w:sz w:val="28"/>
                <w:szCs w:val="28"/>
                <w:highlight w:val="none"/>
                <w:u w:val="single"/>
                <w:lang w:val="en-US" w:eastAsia="zh-CN"/>
              </w:rPr>
              <w:t>区间箱</w:t>
            </w:r>
            <w:r>
              <w:rPr>
                <w:rFonts w:hint="eastAsia" w:ascii="仿宋" w:hAnsi="仿宋" w:eastAsia="仿宋" w:cs="仿宋"/>
                <w:color w:val="auto"/>
                <w:sz w:val="28"/>
                <w:szCs w:val="28"/>
                <w:highlight w:val="none"/>
              </w:rPr>
              <w:t>采购参选文件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36" w:type="dxa"/>
          </w:tcPr>
          <w:p>
            <w:pPr>
              <w:spacing w:line="360" w:lineRule="auto"/>
              <w:ind w:left="-2" w:leftChars="-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     年    月    日    时    分前不得开启。</w:t>
            </w:r>
          </w:p>
        </w:tc>
      </w:tr>
    </w:tbl>
    <w:p>
      <w:pPr>
        <w:adjustRightInd w:val="0"/>
        <w:snapToGrid w:val="0"/>
        <w:spacing w:line="360" w:lineRule="auto"/>
        <w:ind w:firstLine="703" w:firstLineChars="250"/>
        <w:rPr>
          <w:rFonts w:hint="eastAsia" w:ascii="仿宋" w:hAnsi="仿宋" w:eastAsia="仿宋" w:cs="仿宋"/>
          <w:b/>
          <w:bCs/>
          <w:color w:val="auto"/>
          <w:sz w:val="28"/>
          <w:szCs w:val="28"/>
          <w:highlight w:val="none"/>
          <w:u w:val="single"/>
        </w:rPr>
      </w:pPr>
    </w:p>
    <w:p>
      <w:pPr>
        <w:rPr>
          <w:rFonts w:hint="eastAsia" w:ascii="仿宋" w:hAnsi="仿宋" w:eastAsia="仿宋" w:cs="仿宋"/>
          <w:snapToGrid w:val="0"/>
          <w:color w:val="auto"/>
          <w:kern w:val="0"/>
          <w:sz w:val="32"/>
          <w:szCs w:val="32"/>
          <w:highlight w:val="none"/>
        </w:rPr>
      </w:pPr>
      <w:bookmarkStart w:id="194" w:name="_Toc414026235"/>
      <w:bookmarkStart w:id="195" w:name="_Toc28694"/>
      <w:bookmarkStart w:id="196" w:name="_Toc17480"/>
      <w:r>
        <w:rPr>
          <w:rFonts w:hint="eastAsia" w:ascii="仿宋" w:hAnsi="仿宋" w:eastAsia="仿宋" w:cs="仿宋"/>
          <w:snapToGrid w:val="0"/>
          <w:color w:val="auto"/>
          <w:kern w:val="0"/>
          <w:sz w:val="32"/>
          <w:szCs w:val="32"/>
          <w:highlight w:val="none"/>
        </w:rPr>
        <w:br w:type="page"/>
      </w:r>
    </w:p>
    <w:p>
      <w:pPr>
        <w:pStyle w:val="2"/>
        <w:numPr>
          <w:ilvl w:val="0"/>
          <w:numId w:val="4"/>
        </w:numPr>
        <w:snapToGrid w:val="0"/>
        <w:spacing w:before="0" w:after="0" w:line="360" w:lineRule="auto"/>
        <w:jc w:val="center"/>
        <w:rPr>
          <w:rFonts w:hint="eastAsia" w:ascii="仿宋" w:hAnsi="仿宋" w:eastAsia="仿宋" w:cs="仿宋"/>
          <w:snapToGrid w:val="0"/>
          <w:color w:val="auto"/>
          <w:kern w:val="0"/>
          <w:sz w:val="32"/>
          <w:szCs w:val="32"/>
          <w:highlight w:val="none"/>
        </w:rPr>
      </w:pPr>
      <w:bookmarkStart w:id="197" w:name="_Toc9706"/>
      <w:bookmarkStart w:id="198" w:name="_Toc22784"/>
      <w:r>
        <w:rPr>
          <w:rFonts w:hint="eastAsia" w:ascii="仿宋" w:hAnsi="仿宋" w:eastAsia="仿宋" w:cs="仿宋"/>
          <w:snapToGrid w:val="0"/>
          <w:color w:val="auto"/>
          <w:kern w:val="0"/>
          <w:sz w:val="32"/>
          <w:szCs w:val="32"/>
          <w:highlight w:val="none"/>
        </w:rPr>
        <w:t>合同主要条款</w:t>
      </w:r>
      <w:bookmarkEnd w:id="194"/>
      <w:bookmarkEnd w:id="195"/>
      <w:bookmarkEnd w:id="196"/>
      <w:bookmarkEnd w:id="197"/>
      <w:bookmarkEnd w:id="198"/>
    </w:p>
    <w:p>
      <w:pPr>
        <w:numPr>
          <w:ilvl w:val="0"/>
          <w:numId w:val="0"/>
        </w:numPr>
        <w:rPr>
          <w:rFonts w:hint="eastAsia"/>
        </w:rPr>
      </w:pPr>
    </w:p>
    <w:p>
      <w:pPr>
        <w:spacing w:line="360" w:lineRule="auto"/>
        <w:ind w:firstLine="630" w:firstLineChars="225"/>
        <w:rPr>
          <w:rFonts w:hint="eastAsia" w:ascii="仿宋" w:hAnsi="仿宋" w:eastAsia="仿宋" w:cs="仿宋"/>
          <w:color w:val="auto"/>
          <w:sz w:val="28"/>
          <w:szCs w:val="28"/>
          <w:highlight w:val="none"/>
        </w:rPr>
      </w:pPr>
      <w:bookmarkStart w:id="199" w:name="_Toc20445"/>
      <w:bookmarkStart w:id="200" w:name="_Toc31502"/>
      <w:r>
        <w:rPr>
          <w:rFonts w:hint="eastAsia" w:ascii="仿宋" w:hAnsi="仿宋" w:eastAsia="仿宋" w:cs="仿宋"/>
          <w:color w:val="auto"/>
          <w:sz w:val="28"/>
          <w:szCs w:val="28"/>
          <w:highlight w:val="none"/>
          <w:lang w:val="en-US" w:eastAsia="zh-CN"/>
        </w:rPr>
        <w:t>见附件2：《设备类合同模板》</w:t>
      </w:r>
      <w:r>
        <w:rPr>
          <w:rFonts w:hint="eastAsia" w:ascii="仿宋" w:hAnsi="仿宋" w:eastAsia="仿宋" w:cs="仿宋"/>
          <w:color w:val="auto"/>
          <w:sz w:val="28"/>
          <w:szCs w:val="28"/>
          <w:highlight w:val="none"/>
        </w:rPr>
        <w:br w:type="page"/>
      </w:r>
    </w:p>
    <w:p>
      <w:pPr>
        <w:pStyle w:val="2"/>
        <w:snapToGrid w:val="0"/>
        <w:spacing w:before="0" w:after="0" w:line="360" w:lineRule="auto"/>
        <w:jc w:val="left"/>
        <w:rPr>
          <w:rFonts w:ascii="仿宋" w:hAnsi="仿宋" w:eastAsia="仿宋" w:cs="仿宋"/>
          <w:b w:val="0"/>
          <w:bCs w:val="0"/>
          <w:color w:val="auto"/>
          <w:sz w:val="28"/>
          <w:szCs w:val="28"/>
          <w:highlight w:val="none"/>
        </w:rPr>
      </w:pPr>
      <w:bookmarkStart w:id="201" w:name="_Toc30139"/>
      <w:bookmarkStart w:id="202" w:name="_Toc11325"/>
      <w:r>
        <w:rPr>
          <w:rFonts w:hint="eastAsia" w:ascii="仿宋" w:hAnsi="仿宋" w:eastAsia="仿宋" w:cs="仿宋"/>
          <w:snapToGrid w:val="0"/>
          <w:color w:val="auto"/>
          <w:kern w:val="0"/>
          <w:sz w:val="28"/>
          <w:szCs w:val="28"/>
          <w:highlight w:val="none"/>
        </w:rPr>
        <w:t>附件一：参选函</w:t>
      </w:r>
      <w:bookmarkEnd w:id="199"/>
      <w:bookmarkEnd w:id="200"/>
      <w:bookmarkEnd w:id="201"/>
      <w:bookmarkEnd w:id="202"/>
    </w:p>
    <w:p>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参选函</w:t>
      </w:r>
    </w:p>
    <w:p>
      <w:pPr>
        <w:spacing w:line="360" w:lineRule="auto"/>
        <w:ind w:firstLine="560" w:firstLineChars="200"/>
        <w:rPr>
          <w:rFonts w:ascii="仿宋" w:hAnsi="仿宋" w:eastAsia="仿宋" w:cs="仿宋"/>
          <w:color w:val="auto"/>
          <w:sz w:val="28"/>
          <w:szCs w:val="28"/>
          <w:highlight w:val="none"/>
          <w:u w:val="single"/>
        </w:rPr>
      </w:pPr>
    </w:p>
    <w:p>
      <w:pPr>
        <w:spacing w:line="360" w:lineRule="auto"/>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t>重庆机电控股集团机电工程技术有限公司：</w:t>
      </w:r>
    </w:p>
    <w:p>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（一）根据已获取的重庆机电控股集团机电工程技术有限公司</w:t>
      </w:r>
      <w:r>
        <w:rPr>
          <w:rFonts w:hint="eastAsia" w:ascii="仿宋" w:hAnsi="仿宋" w:eastAsia="仿宋" w:cs="仿宋"/>
          <w:color w:val="auto"/>
          <w:sz w:val="28"/>
          <w:szCs w:val="28"/>
          <w:highlight w:val="none"/>
          <w:lang w:val="en-US" w:eastAsia="zh-CN"/>
        </w:rPr>
        <w:t>关于</w:t>
      </w:r>
      <w:r>
        <w:rPr>
          <w:rFonts w:hint="eastAsia" w:ascii="仿宋" w:hAnsi="仿宋" w:eastAsia="仿宋" w:cs="仿宋"/>
          <w:color w:val="auto"/>
          <w:sz w:val="28"/>
          <w:szCs w:val="28"/>
          <w:highlight w:val="none"/>
        </w:rPr>
        <w:t>重庆轨道交通</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号线二期工程（兴科大道～花石沟）风水电系统</w:t>
      </w:r>
      <w:r>
        <w:rPr>
          <w:rFonts w:hint="eastAsia" w:ascii="仿宋" w:hAnsi="仿宋" w:eastAsia="仿宋" w:cs="仿宋"/>
          <w:color w:val="auto"/>
          <w:sz w:val="28"/>
          <w:szCs w:val="28"/>
          <w:highlight w:val="none"/>
          <w:lang w:val="en-US" w:eastAsia="zh-CN"/>
        </w:rPr>
        <w:t>区间箱</w:t>
      </w:r>
      <w:r>
        <w:rPr>
          <w:rFonts w:hint="eastAsia" w:ascii="仿宋" w:hAnsi="仿宋" w:eastAsia="仿宋" w:cs="仿宋"/>
          <w:color w:val="auto"/>
          <w:sz w:val="28"/>
          <w:szCs w:val="28"/>
          <w:highlight w:val="none"/>
        </w:rPr>
        <w:t>采购及伴随服务比选文件，按照有关规定，我单位经研究</w:t>
      </w:r>
      <w:r>
        <w:rPr>
          <w:rFonts w:hint="eastAsia" w:ascii="仿宋" w:hAnsi="仿宋" w:eastAsia="仿宋" w:cs="仿宋"/>
          <w:color w:val="auto"/>
          <w:sz w:val="28"/>
          <w:szCs w:val="28"/>
          <w:highlight w:val="none"/>
          <w:lang w:val="en-US" w:eastAsia="zh-CN"/>
        </w:rPr>
        <w:t>及深刻理解</w:t>
      </w:r>
      <w:r>
        <w:rPr>
          <w:rFonts w:hint="eastAsia" w:ascii="仿宋" w:hAnsi="仿宋" w:eastAsia="仿宋" w:cs="仿宋"/>
          <w:color w:val="auto"/>
          <w:sz w:val="28"/>
          <w:szCs w:val="28"/>
          <w:highlight w:val="none"/>
        </w:rPr>
        <w:t>比选文件后，愿以人民币（大写）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single"/>
          <w:lang w:val="en-US" w:eastAsia="zh-CN"/>
        </w:rPr>
        <w:t xml:space="preserve">       元</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含税</w:t>
      </w:r>
      <w:r>
        <w:rPr>
          <w:rFonts w:hint="eastAsia" w:ascii="仿宋" w:hAnsi="仿宋" w:eastAsia="仿宋" w:cs="仿宋"/>
          <w:color w:val="auto"/>
          <w:sz w:val="28"/>
          <w:szCs w:val="28"/>
          <w:highlight w:val="none"/>
        </w:rPr>
        <w:t>总价，</w:t>
      </w:r>
      <w:r>
        <w:rPr>
          <w:rFonts w:hint="eastAsia" w:ascii="仿宋" w:hAnsi="仿宋" w:eastAsia="仿宋" w:cs="仿宋"/>
          <w:color w:val="auto"/>
          <w:sz w:val="28"/>
          <w:szCs w:val="28"/>
          <w:highlight w:val="none"/>
          <w:lang w:val="en-US" w:eastAsia="zh-CN"/>
        </w:rPr>
        <w:t>其中不含税总金额为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single"/>
          <w:lang w:val="en-US" w:eastAsia="zh-CN"/>
        </w:rPr>
        <w:t xml:space="preserve">      元</w:t>
      </w: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lang w:val="en-US" w:eastAsia="zh-CN"/>
        </w:rPr>
        <w:t>税金为</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single"/>
          <w:lang w:val="en-US" w:eastAsia="zh-CN"/>
        </w:rPr>
        <w:t xml:space="preserve">       元</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rPr>
        <w:t>，按比选文件的要求提供本次比选范围内的材料</w:t>
      </w:r>
      <w:r>
        <w:rPr>
          <w:rFonts w:hint="eastAsia" w:ascii="仿宋" w:hAnsi="仿宋" w:eastAsia="仿宋" w:cs="仿宋"/>
          <w:color w:val="auto"/>
          <w:sz w:val="28"/>
          <w:szCs w:val="28"/>
          <w:highlight w:val="none"/>
          <w:lang w:val="en-US" w:eastAsia="zh-CN"/>
        </w:rPr>
        <w:t>及设备</w:t>
      </w:r>
      <w:r>
        <w:rPr>
          <w:rFonts w:hint="eastAsia" w:ascii="仿宋" w:hAnsi="仿宋" w:eastAsia="仿宋" w:cs="仿宋"/>
          <w:color w:val="auto"/>
          <w:sz w:val="28"/>
          <w:szCs w:val="28"/>
          <w:highlight w:val="none"/>
        </w:rPr>
        <w:t>。</w:t>
      </w:r>
    </w:p>
    <w:p>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（二）我单位保证所提供材料</w:t>
      </w:r>
      <w:r>
        <w:rPr>
          <w:rFonts w:hint="eastAsia" w:ascii="仿宋" w:hAnsi="仿宋" w:eastAsia="仿宋" w:cs="仿宋"/>
          <w:color w:val="auto"/>
          <w:sz w:val="28"/>
          <w:szCs w:val="28"/>
          <w:highlight w:val="none"/>
          <w:lang w:val="en-US" w:eastAsia="zh-CN"/>
        </w:rPr>
        <w:t>及设备</w:t>
      </w:r>
      <w:r>
        <w:rPr>
          <w:rFonts w:hint="eastAsia" w:ascii="仿宋" w:hAnsi="仿宋" w:eastAsia="仿宋" w:cs="仿宋"/>
          <w:color w:val="auto"/>
          <w:sz w:val="28"/>
          <w:szCs w:val="28"/>
          <w:highlight w:val="none"/>
        </w:rPr>
        <w:t>的质量达到标准。</w:t>
      </w:r>
    </w:p>
    <w:p>
      <w:pPr>
        <w:pStyle w:val="12"/>
        <w:ind w:firstLine="56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（三）贵单位的比选文件、参选文件将构成约束我们双方的合同。</w:t>
      </w:r>
    </w:p>
    <w:p>
      <w:pPr>
        <w:pStyle w:val="12"/>
        <w:ind w:firstLine="560"/>
        <w:rPr>
          <w:rFonts w:hint="eastAsia" w:ascii="仿宋" w:hAnsi="仿宋" w:eastAsia="仿宋" w:cs="仿宋"/>
          <w:color w:val="auto"/>
          <w:sz w:val="28"/>
          <w:szCs w:val="28"/>
          <w:highlight w:val="none"/>
        </w:rPr>
      </w:pPr>
    </w:p>
    <w:p>
      <w:pPr>
        <w:wordWrap w:val="0"/>
        <w:spacing w:line="600" w:lineRule="auto"/>
        <w:ind w:firstLine="3920" w:firstLineChars="14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盖公</w:t>
      </w:r>
      <w:r>
        <w:rPr>
          <w:rFonts w:hint="eastAsia" w:ascii="仿宋" w:hAnsi="仿宋" w:eastAsia="仿宋" w:cs="仿宋"/>
          <w:color w:val="auto"/>
          <w:sz w:val="28"/>
          <w:szCs w:val="28"/>
          <w:highlight w:val="none"/>
        </w:rPr>
        <w:t>章）</w:t>
      </w:r>
    </w:p>
    <w:p>
      <w:pPr>
        <w:spacing w:line="600" w:lineRule="auto"/>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法定代表人或</w:t>
      </w:r>
      <w:r>
        <w:rPr>
          <w:rFonts w:hint="eastAsia" w:ascii="仿宋" w:hAnsi="仿宋" w:eastAsia="仿宋" w:cs="仿宋"/>
          <w:color w:val="auto"/>
          <w:sz w:val="28"/>
          <w:szCs w:val="28"/>
          <w:highlight w:val="none"/>
          <w:lang w:val="en-US" w:eastAsia="zh-CN"/>
        </w:rPr>
        <w:t>委托</w:t>
      </w:r>
      <w:r>
        <w:rPr>
          <w:rFonts w:hint="eastAsia" w:ascii="仿宋" w:hAnsi="仿宋" w:eastAsia="仿宋" w:cs="仿宋"/>
          <w:color w:val="auto"/>
          <w:sz w:val="28"/>
          <w:szCs w:val="28"/>
          <w:highlight w:val="none"/>
        </w:rPr>
        <w:t>代理人：（</w:t>
      </w:r>
      <w:r>
        <w:rPr>
          <w:rFonts w:hint="eastAsia" w:ascii="仿宋" w:hAnsi="仿宋" w:eastAsia="仿宋" w:cs="仿宋"/>
          <w:color w:val="auto"/>
          <w:sz w:val="28"/>
          <w:szCs w:val="28"/>
          <w:highlight w:val="none"/>
          <w:lang w:val="en-US" w:eastAsia="zh-CN"/>
        </w:rPr>
        <w:t>签字</w:t>
      </w:r>
      <w:r>
        <w:rPr>
          <w:rFonts w:hint="eastAsia" w:ascii="仿宋" w:hAnsi="仿宋" w:eastAsia="仿宋" w:cs="仿宋"/>
          <w:color w:val="auto"/>
          <w:sz w:val="28"/>
          <w:szCs w:val="28"/>
          <w:highlight w:val="none"/>
        </w:rPr>
        <w:t xml:space="preserve">）            </w:t>
      </w:r>
    </w:p>
    <w:p>
      <w:pPr>
        <w:pStyle w:val="15"/>
        <w:spacing w:line="600" w:lineRule="auto"/>
        <w:ind w:left="0" w:leftChars="0" w:firstLine="3920" w:firstLineChars="14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日期：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日</w:t>
      </w:r>
    </w:p>
    <w:p>
      <w:pPr>
        <w:pStyle w:val="2"/>
        <w:snapToGrid w:val="0"/>
        <w:spacing w:before="0" w:after="0" w:line="360" w:lineRule="auto"/>
        <w:rPr>
          <w:rFonts w:ascii="仿宋" w:hAnsi="仿宋" w:eastAsia="仿宋" w:cs="仿宋"/>
          <w:color w:val="auto"/>
          <w:sz w:val="28"/>
          <w:szCs w:val="28"/>
          <w:highlight w:val="none"/>
        </w:rPr>
      </w:pPr>
      <w:r>
        <w:rPr>
          <w:rFonts w:hint="eastAsia" w:ascii="仿宋" w:hAnsi="仿宋" w:eastAsia="仿宋" w:cs="仿宋"/>
          <w:snapToGrid w:val="0"/>
          <w:color w:val="auto"/>
          <w:kern w:val="0"/>
          <w:sz w:val="28"/>
          <w:szCs w:val="28"/>
          <w:highlight w:val="none"/>
        </w:rPr>
        <w:br w:type="page"/>
      </w:r>
      <w:bookmarkStart w:id="203" w:name="_Toc5702"/>
      <w:bookmarkStart w:id="204" w:name="_Toc27647"/>
      <w:bookmarkStart w:id="205" w:name="_Toc15495"/>
      <w:bookmarkStart w:id="206" w:name="_Toc4373"/>
      <w:r>
        <w:rPr>
          <w:rFonts w:hint="eastAsia" w:ascii="仿宋" w:hAnsi="仿宋" w:eastAsia="仿宋" w:cs="仿宋"/>
          <w:snapToGrid w:val="0"/>
          <w:color w:val="auto"/>
          <w:kern w:val="0"/>
          <w:sz w:val="28"/>
          <w:szCs w:val="28"/>
          <w:highlight w:val="none"/>
        </w:rPr>
        <w:t>附件二：</w:t>
      </w:r>
      <w:r>
        <w:rPr>
          <w:rFonts w:hint="eastAsia" w:ascii="仿宋" w:hAnsi="仿宋" w:eastAsia="仿宋" w:cs="仿宋"/>
          <w:snapToGrid w:val="0"/>
          <w:color w:val="auto"/>
          <w:kern w:val="0"/>
          <w:sz w:val="28"/>
          <w:szCs w:val="28"/>
          <w:highlight w:val="none"/>
          <w:lang w:eastAsia="zh-CN"/>
        </w:rPr>
        <w:t>参选人</w:t>
      </w:r>
      <w:r>
        <w:rPr>
          <w:rFonts w:hint="eastAsia" w:ascii="仿宋" w:hAnsi="仿宋" w:eastAsia="仿宋" w:cs="仿宋"/>
          <w:snapToGrid w:val="0"/>
          <w:color w:val="auto"/>
          <w:kern w:val="0"/>
          <w:sz w:val="28"/>
          <w:szCs w:val="28"/>
          <w:highlight w:val="none"/>
        </w:rPr>
        <w:t>报价表</w:t>
      </w:r>
      <w:bookmarkEnd w:id="203"/>
      <w:bookmarkEnd w:id="204"/>
      <w:bookmarkEnd w:id="205"/>
      <w:bookmarkEnd w:id="206"/>
    </w:p>
    <w:p>
      <w:pPr>
        <w:adjustRightInd w:val="0"/>
        <w:snapToGrid w:val="0"/>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  </w:t>
      </w:r>
      <w:r>
        <w:rPr>
          <w:rFonts w:hint="eastAsia" w:ascii="仿宋" w:hAnsi="仿宋" w:eastAsia="仿宋" w:cs="仿宋"/>
          <w:b/>
          <w:color w:val="auto"/>
          <w:sz w:val="28"/>
          <w:szCs w:val="28"/>
          <w:highlight w:val="none"/>
          <w:lang w:eastAsia="zh-CN"/>
        </w:rPr>
        <w:t>参选人</w:t>
      </w:r>
      <w:r>
        <w:rPr>
          <w:rFonts w:hint="eastAsia" w:ascii="仿宋" w:hAnsi="仿宋" w:eastAsia="仿宋" w:cs="仿宋"/>
          <w:b/>
          <w:color w:val="auto"/>
          <w:sz w:val="28"/>
          <w:szCs w:val="28"/>
          <w:highlight w:val="none"/>
        </w:rPr>
        <w:t xml:space="preserve">报价表  </w:t>
      </w:r>
    </w:p>
    <w:p>
      <w:pPr>
        <w:adjustRightInd w:val="0"/>
        <w:snapToGrid w:val="0"/>
        <w:spacing w:line="360" w:lineRule="auto"/>
        <w:ind w:left="-105" w:leftChars="-50"/>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 xml:space="preserve">项目名称：                                         </w:t>
      </w:r>
    </w:p>
    <w:tbl>
      <w:tblPr>
        <w:tblStyle w:val="24"/>
        <w:tblpPr w:leftFromText="180" w:rightFromText="180" w:vertAnchor="text" w:horzAnchor="margin" w:tblpY="57"/>
        <w:tblW w:w="9183" w:type="dxa"/>
        <w:tblInd w:w="0" w:type="dxa"/>
        <w:tblLayout w:type="fixed"/>
        <w:tblCellMar>
          <w:top w:w="0" w:type="dxa"/>
          <w:left w:w="108" w:type="dxa"/>
          <w:bottom w:w="0" w:type="dxa"/>
          <w:right w:w="108" w:type="dxa"/>
        </w:tblCellMar>
      </w:tblPr>
      <w:tblGrid>
        <w:gridCol w:w="852"/>
        <w:gridCol w:w="368"/>
        <w:gridCol w:w="452"/>
        <w:gridCol w:w="1269"/>
        <w:gridCol w:w="797"/>
        <w:gridCol w:w="895"/>
        <w:gridCol w:w="933"/>
        <w:gridCol w:w="1413"/>
        <w:gridCol w:w="1071"/>
        <w:gridCol w:w="1133"/>
      </w:tblGrid>
      <w:tr>
        <w:tblPrEx>
          <w:tblCellMar>
            <w:top w:w="0" w:type="dxa"/>
            <w:left w:w="108" w:type="dxa"/>
            <w:bottom w:w="0" w:type="dxa"/>
            <w:right w:w="108" w:type="dxa"/>
          </w:tblCellMar>
        </w:tblPrEx>
        <w:trPr>
          <w:trHeight w:val="639" w:hRule="atLeast"/>
        </w:trPr>
        <w:tc>
          <w:tcPr>
            <w:tcW w:w="85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rPr>
              <w:t>序号</w:t>
            </w:r>
          </w:p>
        </w:tc>
        <w:tc>
          <w:tcPr>
            <w:tcW w:w="820"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仿宋" w:hAnsi="仿宋" w:eastAsia="仿宋" w:cs="仿宋"/>
                <w:b/>
                <w:bCs/>
                <w:color w:val="000000"/>
                <w:kern w:val="0"/>
                <w:sz w:val="24"/>
                <w:highlight w:val="none"/>
                <w:lang w:val="en-US" w:eastAsia="zh-CN"/>
              </w:rPr>
            </w:pPr>
            <w:r>
              <w:rPr>
                <w:rFonts w:hint="eastAsia" w:ascii="仿宋" w:hAnsi="仿宋" w:eastAsia="仿宋" w:cs="仿宋"/>
                <w:b/>
                <w:bCs/>
                <w:color w:val="000000"/>
                <w:kern w:val="0"/>
                <w:sz w:val="24"/>
                <w:highlight w:val="none"/>
                <w:lang w:val="en-US" w:eastAsia="zh-CN"/>
              </w:rPr>
              <w:t>名称</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rPr>
              <w:t>规格型号</w:t>
            </w:r>
          </w:p>
        </w:tc>
        <w:tc>
          <w:tcPr>
            <w:tcW w:w="79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rPr>
              <w:t>单位</w:t>
            </w:r>
          </w:p>
        </w:tc>
        <w:tc>
          <w:tcPr>
            <w:tcW w:w="89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rPr>
              <w:t>数量</w:t>
            </w:r>
          </w:p>
        </w:tc>
        <w:tc>
          <w:tcPr>
            <w:tcW w:w="933"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rPr>
              <w:t>单价</w:t>
            </w:r>
          </w:p>
        </w:tc>
        <w:tc>
          <w:tcPr>
            <w:tcW w:w="1413"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rPr>
              <w:t>总价</w:t>
            </w:r>
          </w:p>
        </w:tc>
        <w:tc>
          <w:tcPr>
            <w:tcW w:w="107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rPr>
              <w:t>品牌</w:t>
            </w:r>
          </w:p>
        </w:tc>
        <w:tc>
          <w:tcPr>
            <w:tcW w:w="1133"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仿宋" w:hAnsi="仿宋" w:eastAsia="仿宋" w:cs="仿宋"/>
                <w:b/>
                <w:bCs/>
                <w:color w:val="000000"/>
                <w:kern w:val="0"/>
                <w:sz w:val="24"/>
                <w:highlight w:val="none"/>
                <w:lang w:eastAsia="zh-CN"/>
              </w:rPr>
            </w:pPr>
            <w:r>
              <w:rPr>
                <w:rFonts w:hint="eastAsia" w:ascii="仿宋" w:hAnsi="仿宋" w:eastAsia="仿宋" w:cs="仿宋"/>
                <w:b/>
                <w:bCs/>
                <w:color w:val="000000"/>
                <w:kern w:val="0"/>
                <w:sz w:val="24"/>
                <w:highlight w:val="none"/>
                <w:lang w:val="en-US" w:eastAsia="zh-CN"/>
              </w:rPr>
              <w:t>备注</w:t>
            </w:r>
          </w:p>
        </w:tc>
      </w:tr>
      <w:tr>
        <w:tblPrEx>
          <w:tblCellMar>
            <w:top w:w="0" w:type="dxa"/>
            <w:left w:w="108" w:type="dxa"/>
            <w:bottom w:w="0" w:type="dxa"/>
            <w:right w:w="108" w:type="dxa"/>
          </w:tblCellMar>
        </w:tblPrEx>
        <w:trPr>
          <w:trHeight w:val="549" w:hRule="atLeast"/>
        </w:trPr>
        <w:tc>
          <w:tcPr>
            <w:tcW w:w="852"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w:t>
            </w:r>
          </w:p>
        </w:tc>
        <w:tc>
          <w:tcPr>
            <w:tcW w:w="820" w:type="dxa"/>
            <w:gridSpan w:val="2"/>
            <w:tcBorders>
              <w:top w:val="nil"/>
              <w:left w:val="single" w:color="auto" w:sz="4" w:space="0"/>
              <w:bottom w:val="single" w:color="000000"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269" w:type="dxa"/>
            <w:tcBorders>
              <w:top w:val="nil"/>
              <w:left w:val="single" w:color="auto" w:sz="4" w:space="0"/>
              <w:bottom w:val="single" w:color="000000"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797"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895"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41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071" w:type="dxa"/>
            <w:tcBorders>
              <w:top w:val="nil"/>
              <w:left w:val="nil"/>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000000"/>
                <w:kern w:val="0"/>
                <w:sz w:val="24"/>
                <w:highlight w:val="none"/>
                <w:lang w:val="en-US" w:eastAsia="zh-CN"/>
              </w:rPr>
            </w:pPr>
          </w:p>
        </w:tc>
        <w:tc>
          <w:tcPr>
            <w:tcW w:w="1133" w:type="dxa"/>
            <w:tcBorders>
              <w:top w:val="nil"/>
              <w:left w:val="nil"/>
              <w:bottom w:val="single" w:color="auto" w:sz="4" w:space="0"/>
              <w:right w:val="single" w:color="auto" w:sz="4" w:space="0"/>
            </w:tcBorders>
            <w:vAlign w:val="center"/>
          </w:tcPr>
          <w:p>
            <w:pPr>
              <w:widowControl/>
              <w:spacing w:line="360" w:lineRule="auto"/>
              <w:jc w:val="center"/>
              <w:rPr>
                <w:rFonts w:hint="default" w:ascii="仿宋" w:hAnsi="仿宋" w:eastAsia="仿宋" w:cs="仿宋"/>
                <w:color w:val="000000"/>
                <w:kern w:val="0"/>
                <w:sz w:val="24"/>
                <w:highlight w:val="none"/>
                <w:lang w:val="en-US" w:eastAsia="zh-CN"/>
              </w:rPr>
            </w:pPr>
          </w:p>
        </w:tc>
      </w:tr>
      <w:tr>
        <w:tblPrEx>
          <w:tblCellMar>
            <w:top w:w="0" w:type="dxa"/>
            <w:left w:w="108" w:type="dxa"/>
            <w:bottom w:w="0" w:type="dxa"/>
            <w:right w:w="108" w:type="dxa"/>
          </w:tblCellMar>
        </w:tblPrEx>
        <w:trPr>
          <w:trHeight w:val="561" w:hRule="atLeast"/>
        </w:trPr>
        <w:tc>
          <w:tcPr>
            <w:tcW w:w="852"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2</w:t>
            </w:r>
          </w:p>
        </w:tc>
        <w:tc>
          <w:tcPr>
            <w:tcW w:w="820" w:type="dxa"/>
            <w:gridSpan w:val="2"/>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cs="仿宋"/>
                <w:color w:val="000000"/>
                <w:kern w:val="0"/>
                <w:sz w:val="24"/>
                <w:highlight w:val="none"/>
              </w:rPr>
            </w:pPr>
          </w:p>
        </w:tc>
        <w:tc>
          <w:tcPr>
            <w:tcW w:w="1269" w:type="dxa"/>
            <w:tcBorders>
              <w:top w:val="nil"/>
              <w:left w:val="single" w:color="auto" w:sz="4" w:space="0"/>
              <w:bottom w:val="single" w:color="000000" w:sz="4" w:space="0"/>
              <w:right w:val="single" w:color="auto" w:sz="4" w:space="0"/>
            </w:tcBorders>
            <w:vAlign w:val="center"/>
          </w:tcPr>
          <w:p>
            <w:pPr>
              <w:widowControl/>
              <w:spacing w:line="360" w:lineRule="auto"/>
              <w:jc w:val="left"/>
              <w:rPr>
                <w:rFonts w:ascii="仿宋" w:hAnsi="仿宋" w:eastAsia="仿宋" w:cs="仿宋"/>
                <w:color w:val="000000"/>
                <w:kern w:val="0"/>
                <w:sz w:val="24"/>
                <w:highlight w:val="none"/>
              </w:rPr>
            </w:pPr>
          </w:p>
        </w:tc>
        <w:tc>
          <w:tcPr>
            <w:tcW w:w="797"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895"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41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071"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13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r>
      <w:tr>
        <w:tblPrEx>
          <w:tblCellMar>
            <w:top w:w="0" w:type="dxa"/>
            <w:left w:w="108" w:type="dxa"/>
            <w:bottom w:w="0" w:type="dxa"/>
            <w:right w:w="108" w:type="dxa"/>
          </w:tblCellMar>
        </w:tblPrEx>
        <w:trPr>
          <w:trHeight w:val="561" w:hRule="atLeast"/>
        </w:trPr>
        <w:tc>
          <w:tcPr>
            <w:tcW w:w="852"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3</w:t>
            </w:r>
          </w:p>
        </w:tc>
        <w:tc>
          <w:tcPr>
            <w:tcW w:w="820" w:type="dxa"/>
            <w:gridSpan w:val="2"/>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2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797"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895"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41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071"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13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r>
      <w:tr>
        <w:tblPrEx>
          <w:tblCellMar>
            <w:top w:w="0" w:type="dxa"/>
            <w:left w:w="108" w:type="dxa"/>
            <w:bottom w:w="0" w:type="dxa"/>
            <w:right w:w="108" w:type="dxa"/>
          </w:tblCellMar>
        </w:tblPrEx>
        <w:trPr>
          <w:trHeight w:val="561" w:hRule="atLeast"/>
        </w:trPr>
        <w:tc>
          <w:tcPr>
            <w:tcW w:w="852"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w:t>
            </w:r>
          </w:p>
        </w:tc>
        <w:tc>
          <w:tcPr>
            <w:tcW w:w="820" w:type="dxa"/>
            <w:gridSpan w:val="2"/>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2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797"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895"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41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071"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c>
          <w:tcPr>
            <w:tcW w:w="1133" w:type="dxa"/>
            <w:tcBorders>
              <w:top w:val="nil"/>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p>
        </w:tc>
      </w:tr>
      <w:tr>
        <w:tblPrEx>
          <w:tblCellMar>
            <w:top w:w="0" w:type="dxa"/>
            <w:left w:w="108" w:type="dxa"/>
            <w:bottom w:w="0" w:type="dxa"/>
            <w:right w:w="108" w:type="dxa"/>
          </w:tblCellMar>
        </w:tblPrEx>
        <w:trPr>
          <w:trHeight w:val="561" w:hRule="atLeast"/>
        </w:trPr>
        <w:tc>
          <w:tcPr>
            <w:tcW w:w="3738" w:type="dxa"/>
            <w:gridSpan w:val="5"/>
            <w:tcBorders>
              <w:top w:val="single" w:color="auto" w:sz="4" w:space="0"/>
              <w:left w:val="single" w:color="auto" w:sz="4" w:space="0"/>
              <w:bottom w:val="single" w:color="auto" w:sz="4" w:space="0"/>
            </w:tcBorders>
            <w:vAlign w:val="center"/>
          </w:tcPr>
          <w:p>
            <w:pPr>
              <w:widowControl/>
              <w:spacing w:line="360" w:lineRule="auto"/>
              <w:rPr>
                <w:rFonts w:hint="eastAsia" w:ascii="仿宋" w:hAnsi="仿宋" w:eastAsia="仿宋" w:cs="仿宋"/>
                <w:b/>
                <w:color w:val="000000"/>
                <w:kern w:val="0"/>
                <w:sz w:val="24"/>
                <w:highlight w:val="none"/>
              </w:rPr>
            </w:pPr>
            <w:r>
              <w:rPr>
                <w:rFonts w:hint="eastAsia" w:ascii="仿宋" w:hAnsi="仿宋" w:eastAsia="仿宋" w:cs="仿宋"/>
                <w:b/>
                <w:color w:val="auto"/>
                <w:kern w:val="0"/>
                <w:sz w:val="24"/>
                <w:highlight w:val="none"/>
                <w:lang w:val="en-US" w:eastAsia="zh-CN"/>
              </w:rPr>
              <w:t>含税总价</w:t>
            </w:r>
            <w:r>
              <w:rPr>
                <w:rFonts w:hint="eastAsia" w:ascii="仿宋" w:hAnsi="仿宋" w:eastAsia="仿宋" w:cs="仿宋"/>
                <w:b/>
                <w:color w:val="auto"/>
                <w:kern w:val="0"/>
                <w:sz w:val="24"/>
                <w:highlight w:val="none"/>
              </w:rPr>
              <w:t>合计</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b/>
                <w:bCs/>
                <w:color w:val="auto"/>
                <w:kern w:val="0"/>
                <w:sz w:val="24"/>
                <w:highlight w:val="none"/>
                <w:lang w:val="en-US" w:eastAsia="zh-CN"/>
              </w:rPr>
              <w:t>元</w:t>
            </w:r>
            <w:r>
              <w:rPr>
                <w:rFonts w:hint="eastAsia" w:ascii="仿宋" w:hAnsi="仿宋" w:eastAsia="仿宋" w:cs="仿宋"/>
                <w:b/>
                <w:bCs/>
                <w:color w:val="auto"/>
                <w:kern w:val="0"/>
                <w:sz w:val="24"/>
                <w:highlight w:val="none"/>
              </w:rPr>
              <w:t xml:space="preserve"> </w:t>
            </w:r>
          </w:p>
        </w:tc>
        <w:tc>
          <w:tcPr>
            <w:tcW w:w="5445" w:type="dxa"/>
            <w:gridSpan w:val="5"/>
            <w:tcBorders>
              <w:top w:val="single" w:color="auto" w:sz="4" w:space="0"/>
              <w:bottom w:val="single" w:color="auto" w:sz="4" w:space="0"/>
              <w:right w:val="single" w:color="auto" w:sz="4" w:space="0"/>
            </w:tcBorders>
            <w:vAlign w:val="center"/>
          </w:tcPr>
          <w:p>
            <w:pPr>
              <w:widowControl/>
              <w:spacing w:line="360" w:lineRule="auto"/>
              <w:rPr>
                <w:rFonts w:hint="eastAsia" w:ascii="仿宋" w:hAnsi="仿宋" w:eastAsia="仿宋" w:cs="仿宋"/>
                <w:b/>
                <w:color w:val="000000"/>
                <w:kern w:val="0"/>
                <w:sz w:val="24"/>
                <w:highlight w:val="none"/>
              </w:rPr>
            </w:pPr>
            <w:r>
              <w:rPr>
                <w:rFonts w:hint="eastAsia" w:ascii="仿宋" w:hAnsi="仿宋" w:eastAsia="仿宋" w:cs="仿宋"/>
                <w:b/>
                <w:color w:val="auto"/>
                <w:kern w:val="0"/>
                <w:sz w:val="24"/>
                <w:highlight w:val="none"/>
              </w:rPr>
              <w:t>（大写</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b/>
                <w:color w:val="auto"/>
                <w:kern w:val="0"/>
                <w:sz w:val="24"/>
                <w:highlight w:val="none"/>
              </w:rPr>
              <w:t>）</w:t>
            </w:r>
          </w:p>
        </w:tc>
      </w:tr>
      <w:tr>
        <w:tblPrEx>
          <w:tblCellMar>
            <w:top w:w="0" w:type="dxa"/>
            <w:left w:w="108" w:type="dxa"/>
            <w:bottom w:w="0" w:type="dxa"/>
            <w:right w:w="108" w:type="dxa"/>
          </w:tblCellMar>
        </w:tblPrEx>
        <w:trPr>
          <w:trHeight w:val="1076" w:hRule="atLeast"/>
        </w:trPr>
        <w:tc>
          <w:tcPr>
            <w:tcW w:w="9183" w:type="dxa"/>
            <w:gridSpan w:val="10"/>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rPr>
                <w:rFonts w:hint="eastAsia" w:ascii="仿宋" w:hAnsi="仿宋" w:eastAsia="仿宋" w:cs="仿宋"/>
                <w:b w:val="0"/>
                <w:bCs/>
                <w:color w:val="auto"/>
                <w:kern w:val="0"/>
                <w:sz w:val="24"/>
                <w:highlight w:val="none"/>
                <w:lang w:val="en-US" w:eastAsia="zh-CN"/>
              </w:rPr>
            </w:pPr>
            <w:r>
              <w:rPr>
                <w:rFonts w:hint="eastAsia" w:ascii="仿宋" w:hAnsi="仿宋" w:eastAsia="仿宋" w:cs="仿宋"/>
                <w:b w:val="0"/>
                <w:bCs/>
                <w:color w:val="auto"/>
                <w:kern w:val="0"/>
                <w:sz w:val="24"/>
                <w:highlight w:val="none"/>
                <w:lang w:val="en-US" w:eastAsia="zh-CN"/>
              </w:rPr>
              <w:t>1、其中，不含税总价为</w:t>
            </w:r>
            <w:r>
              <w:rPr>
                <w:rFonts w:hint="eastAsia" w:ascii="仿宋" w:hAnsi="仿宋" w:eastAsia="仿宋" w:cs="仿宋"/>
                <w:b w:val="0"/>
                <w:bCs/>
                <w:color w:val="auto"/>
                <w:kern w:val="0"/>
                <w:sz w:val="24"/>
                <w:highlight w:val="none"/>
                <w:u w:val="single"/>
                <w:lang w:val="en-US" w:eastAsia="zh-CN"/>
              </w:rPr>
              <w:t xml:space="preserve">           </w:t>
            </w:r>
            <w:r>
              <w:rPr>
                <w:rFonts w:hint="eastAsia" w:ascii="仿宋" w:hAnsi="仿宋" w:eastAsia="仿宋" w:cs="仿宋"/>
                <w:b w:val="0"/>
                <w:bCs/>
                <w:color w:val="auto"/>
                <w:kern w:val="0"/>
                <w:sz w:val="24"/>
                <w:highlight w:val="none"/>
                <w:lang w:val="en-US" w:eastAsia="zh-CN"/>
              </w:rPr>
              <w:t>元，税金为</w:t>
            </w:r>
            <w:r>
              <w:rPr>
                <w:rFonts w:hint="eastAsia" w:ascii="仿宋" w:hAnsi="仿宋" w:eastAsia="仿宋" w:cs="仿宋"/>
                <w:b w:val="0"/>
                <w:bCs/>
                <w:color w:val="auto"/>
                <w:kern w:val="0"/>
                <w:sz w:val="24"/>
                <w:highlight w:val="none"/>
                <w:u w:val="single"/>
                <w:lang w:val="en-US" w:eastAsia="zh-CN"/>
              </w:rPr>
              <w:t xml:space="preserve">           </w:t>
            </w:r>
            <w:r>
              <w:rPr>
                <w:rFonts w:hint="eastAsia" w:ascii="仿宋" w:hAnsi="仿宋" w:eastAsia="仿宋" w:cs="仿宋"/>
                <w:b w:val="0"/>
                <w:bCs/>
                <w:color w:val="auto"/>
                <w:kern w:val="0"/>
                <w:sz w:val="24"/>
                <w:highlight w:val="none"/>
                <w:lang w:val="en-US" w:eastAsia="zh-CN"/>
              </w:rPr>
              <w:t>元。</w:t>
            </w:r>
          </w:p>
          <w:p>
            <w:pPr>
              <w:widowControl/>
              <w:numPr>
                <w:ilvl w:val="0"/>
                <w:numId w:val="0"/>
              </w:numPr>
              <w:spacing w:line="360" w:lineRule="auto"/>
              <w:rPr>
                <w:rFonts w:ascii="仿宋" w:hAnsi="仿宋" w:eastAsia="仿宋" w:cs="仿宋"/>
                <w:color w:val="000000"/>
                <w:kern w:val="0"/>
                <w:sz w:val="24"/>
                <w:highlight w:val="none"/>
              </w:rPr>
            </w:pPr>
            <w:r>
              <w:rPr>
                <w:rFonts w:hint="eastAsia" w:ascii="仿宋" w:hAnsi="仿宋" w:eastAsia="仿宋" w:cs="仿宋"/>
                <w:b w:val="0"/>
                <w:bCs/>
                <w:color w:val="auto"/>
                <w:kern w:val="0"/>
                <w:sz w:val="24"/>
                <w:highlight w:val="none"/>
                <w:lang w:val="en-US" w:eastAsia="zh-CN"/>
              </w:rPr>
              <w:t>2、以上总价含设计二次联络、监造、工厂培训费用</w:t>
            </w:r>
            <w:r>
              <w:rPr>
                <w:rFonts w:hint="eastAsia" w:ascii="仿宋" w:hAnsi="仿宋" w:eastAsia="仿宋" w:cs="仿宋"/>
                <w:b w:val="0"/>
                <w:bCs/>
                <w:color w:val="auto"/>
                <w:kern w:val="0"/>
                <w:sz w:val="24"/>
                <w:highlight w:val="none"/>
                <w:u w:val="single"/>
                <w:lang w:val="en-US" w:eastAsia="zh-CN"/>
              </w:rPr>
              <w:t xml:space="preserve">           </w:t>
            </w:r>
            <w:r>
              <w:rPr>
                <w:rFonts w:hint="eastAsia" w:ascii="仿宋" w:hAnsi="仿宋" w:eastAsia="仿宋" w:cs="仿宋"/>
                <w:b w:val="0"/>
                <w:bCs/>
                <w:color w:val="auto"/>
                <w:kern w:val="0"/>
                <w:sz w:val="24"/>
                <w:highlight w:val="none"/>
                <w:lang w:val="en-US" w:eastAsia="zh-CN"/>
              </w:rPr>
              <w:t>元。</w:t>
            </w:r>
          </w:p>
        </w:tc>
      </w:tr>
      <w:tr>
        <w:tblPrEx>
          <w:tblCellMar>
            <w:top w:w="0" w:type="dxa"/>
            <w:left w:w="108" w:type="dxa"/>
            <w:bottom w:w="0" w:type="dxa"/>
            <w:right w:w="108" w:type="dxa"/>
          </w:tblCellMar>
        </w:tblPrEx>
        <w:trPr>
          <w:trHeight w:val="528" w:hRule="atLeast"/>
        </w:trPr>
        <w:tc>
          <w:tcPr>
            <w:tcW w:w="1220" w:type="dxa"/>
            <w:gridSpan w:val="2"/>
            <w:tcBorders>
              <w:top w:val="nil"/>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发票类型</w:t>
            </w:r>
          </w:p>
        </w:tc>
        <w:tc>
          <w:tcPr>
            <w:tcW w:w="2518" w:type="dxa"/>
            <w:gridSpan w:val="3"/>
            <w:tcBorders>
              <w:top w:val="nil"/>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 xml:space="preserve">□13%增值税专用发票  </w:t>
            </w:r>
          </w:p>
        </w:tc>
        <w:tc>
          <w:tcPr>
            <w:tcW w:w="5445" w:type="dxa"/>
            <w:gridSpan w:val="5"/>
            <w:tcBorders>
              <w:top w:val="single" w:color="auto" w:sz="4" w:space="0"/>
              <w:left w:val="nil"/>
              <w:bottom w:val="single" w:color="auto" w:sz="4" w:space="0"/>
              <w:right w:val="single" w:color="auto" w:sz="4" w:space="0"/>
            </w:tcBorders>
            <w:vAlign w:val="center"/>
          </w:tcPr>
          <w:p>
            <w:pPr>
              <w:widowControl/>
              <w:spacing w:line="360" w:lineRule="auto"/>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到货周期</w:t>
            </w:r>
            <w:r>
              <w:rPr>
                <w:rFonts w:hint="eastAsia" w:ascii="仿宋" w:hAnsi="仿宋" w:eastAsia="仿宋" w:cs="仿宋"/>
                <w:color w:val="auto"/>
                <w:kern w:val="0"/>
                <w:sz w:val="24"/>
                <w:highlight w:val="none"/>
                <w:u w:val="single"/>
              </w:rPr>
              <w:t>__________________</w:t>
            </w:r>
            <w:r>
              <w:rPr>
                <w:rFonts w:hint="eastAsia" w:ascii="仿宋" w:hAnsi="仿宋" w:eastAsia="仿宋" w:cs="仿宋"/>
                <w:color w:val="auto"/>
                <w:kern w:val="0"/>
                <w:sz w:val="24"/>
                <w:highlight w:val="none"/>
              </w:rPr>
              <w:t>天</w:t>
            </w:r>
          </w:p>
        </w:tc>
      </w:tr>
    </w:tbl>
    <w:p>
      <w:pPr>
        <w:spacing w:line="360" w:lineRule="auto"/>
        <w:ind w:firstLine="560" w:firstLineChars="200"/>
        <w:rPr>
          <w:rFonts w:ascii="仿宋" w:hAnsi="仿宋" w:eastAsia="仿宋" w:cs="仿宋"/>
          <w:color w:val="auto"/>
          <w:sz w:val="28"/>
          <w:szCs w:val="28"/>
          <w:highlight w:val="none"/>
        </w:rPr>
      </w:pPr>
    </w:p>
    <w:p>
      <w:pPr>
        <w:wordWrap w:val="0"/>
        <w:spacing w:line="600" w:lineRule="auto"/>
        <w:ind w:firstLine="3920" w:firstLineChars="14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盖公</w:t>
      </w:r>
      <w:r>
        <w:rPr>
          <w:rFonts w:hint="eastAsia" w:ascii="仿宋" w:hAnsi="仿宋" w:eastAsia="仿宋" w:cs="仿宋"/>
          <w:color w:val="auto"/>
          <w:sz w:val="28"/>
          <w:szCs w:val="28"/>
          <w:highlight w:val="none"/>
        </w:rPr>
        <w:t>章）</w:t>
      </w:r>
    </w:p>
    <w:p>
      <w:pPr>
        <w:spacing w:line="600" w:lineRule="auto"/>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法定代表人或</w:t>
      </w:r>
      <w:r>
        <w:rPr>
          <w:rFonts w:hint="eastAsia" w:ascii="仿宋" w:hAnsi="仿宋" w:eastAsia="仿宋" w:cs="仿宋"/>
          <w:color w:val="auto"/>
          <w:sz w:val="28"/>
          <w:szCs w:val="28"/>
          <w:highlight w:val="none"/>
          <w:lang w:val="en-US" w:eastAsia="zh-CN"/>
        </w:rPr>
        <w:t>委托</w:t>
      </w:r>
      <w:r>
        <w:rPr>
          <w:rFonts w:hint="eastAsia" w:ascii="仿宋" w:hAnsi="仿宋" w:eastAsia="仿宋" w:cs="仿宋"/>
          <w:color w:val="auto"/>
          <w:sz w:val="28"/>
          <w:szCs w:val="28"/>
          <w:highlight w:val="none"/>
        </w:rPr>
        <w:t>代理人：（</w:t>
      </w:r>
      <w:r>
        <w:rPr>
          <w:rFonts w:hint="eastAsia" w:ascii="仿宋" w:hAnsi="仿宋" w:eastAsia="仿宋" w:cs="仿宋"/>
          <w:color w:val="auto"/>
          <w:sz w:val="28"/>
          <w:szCs w:val="28"/>
          <w:highlight w:val="none"/>
          <w:lang w:val="en-US" w:eastAsia="zh-CN"/>
        </w:rPr>
        <w:t>签字</w:t>
      </w:r>
      <w:r>
        <w:rPr>
          <w:rFonts w:hint="eastAsia" w:ascii="仿宋" w:hAnsi="仿宋" w:eastAsia="仿宋" w:cs="仿宋"/>
          <w:color w:val="auto"/>
          <w:sz w:val="28"/>
          <w:szCs w:val="28"/>
          <w:highlight w:val="none"/>
        </w:rPr>
        <w:t xml:space="preserve">）            </w:t>
      </w:r>
    </w:p>
    <w:p>
      <w:pPr>
        <w:pStyle w:val="15"/>
        <w:spacing w:line="600" w:lineRule="auto"/>
        <w:ind w:left="0" w:leftChars="0" w:firstLine="3920" w:firstLineChars="14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日期：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日</w:t>
      </w:r>
    </w:p>
    <w:p/>
    <w:p>
      <w:pPr>
        <w:adjustRightInd w:val="0"/>
        <w:snapToGrid w:val="0"/>
        <w:spacing w:line="360" w:lineRule="auto"/>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附：</w:t>
      </w:r>
      <w:r>
        <w:rPr>
          <w:rFonts w:hint="eastAsia" w:ascii="仿宋" w:hAnsi="仿宋" w:eastAsia="仿宋" w:cs="仿宋"/>
          <w:b/>
          <w:color w:val="auto"/>
          <w:sz w:val="28"/>
          <w:szCs w:val="28"/>
          <w:highlight w:val="none"/>
        </w:rPr>
        <w:t>(报价</w:t>
      </w:r>
      <w:r>
        <w:rPr>
          <w:rFonts w:hint="eastAsia" w:ascii="仿宋" w:hAnsi="仿宋" w:eastAsia="仿宋" w:cs="仿宋"/>
          <w:b/>
          <w:color w:val="auto"/>
          <w:sz w:val="28"/>
          <w:szCs w:val="28"/>
          <w:highlight w:val="none"/>
          <w:lang w:val="en-US" w:eastAsia="zh-CN"/>
        </w:rPr>
        <w:t>明细表</w:t>
      </w:r>
      <w:r>
        <w:rPr>
          <w:rFonts w:hint="eastAsia" w:ascii="仿宋" w:hAnsi="仿宋" w:eastAsia="仿宋" w:cs="仿宋"/>
          <w:b/>
          <w:color w:val="auto"/>
          <w:sz w:val="28"/>
          <w:szCs w:val="28"/>
          <w:highlight w:val="none"/>
        </w:rPr>
        <w:t>)</w:t>
      </w:r>
    </w:p>
    <w:p>
      <w:pPr>
        <w:adjustRightInd w:val="0"/>
        <w:snapToGrid w:val="0"/>
        <w:spacing w:line="360" w:lineRule="auto"/>
        <w:jc w:val="both"/>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格式自拟</w:t>
      </w:r>
    </w:p>
    <w:p>
      <w:pPr>
        <w:adjustRightInd w:val="0"/>
        <w:snapToGrid w:val="0"/>
        <w:spacing w:line="360" w:lineRule="auto"/>
        <w:ind w:right="728"/>
        <w:jc w:val="left"/>
        <w:outlineLvl w:val="0"/>
        <w:rPr>
          <w:rFonts w:ascii="仿宋" w:hAnsi="仿宋" w:eastAsia="仿宋" w:cs="仿宋"/>
          <w:snapToGrid w:val="0"/>
          <w:color w:val="auto"/>
          <w:kern w:val="0"/>
          <w:sz w:val="28"/>
          <w:szCs w:val="28"/>
          <w:highlight w:val="none"/>
        </w:rPr>
      </w:pPr>
      <w:r>
        <w:rPr>
          <w:rFonts w:hint="eastAsia" w:ascii="仿宋" w:hAnsi="仿宋" w:eastAsia="仿宋" w:cs="仿宋"/>
          <w:color w:val="auto"/>
          <w:sz w:val="28"/>
          <w:szCs w:val="28"/>
          <w:highlight w:val="none"/>
        </w:rPr>
        <w:br w:type="page"/>
      </w:r>
      <w:bookmarkStart w:id="207" w:name="_Toc7536"/>
      <w:bookmarkStart w:id="208" w:name="_Toc28729"/>
      <w:bookmarkStart w:id="209" w:name="_Toc22271"/>
      <w:bookmarkStart w:id="210" w:name="_Toc16088"/>
      <w:bookmarkStart w:id="211" w:name="_Toc414026246"/>
      <w:r>
        <w:rPr>
          <w:rStyle w:val="40"/>
          <w:rFonts w:hint="eastAsia" w:ascii="仿宋" w:hAnsi="仿宋" w:eastAsia="仿宋" w:cs="仿宋"/>
          <w:color w:val="auto"/>
          <w:sz w:val="28"/>
          <w:szCs w:val="28"/>
          <w:highlight w:val="none"/>
        </w:rPr>
        <w:t>附件三：技术偏离表</w:t>
      </w:r>
      <w:bookmarkEnd w:id="207"/>
      <w:bookmarkEnd w:id="208"/>
      <w:bookmarkEnd w:id="209"/>
      <w:bookmarkEnd w:id="210"/>
    </w:p>
    <w:p>
      <w:pPr>
        <w:spacing w:after="240"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技术要求偏离表</w:t>
      </w:r>
    </w:p>
    <w:p>
      <w:pPr>
        <w:adjustRightInd w:val="0"/>
        <w:snapToGrid w:val="0"/>
        <w:spacing w:line="360" w:lineRule="auto"/>
        <w:ind w:left="-105" w:leftChars="-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项目名称：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06"/>
        <w:gridCol w:w="2368"/>
        <w:gridCol w:w="2168"/>
        <w:gridCol w:w="1704"/>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3" w:hRule="atLeast"/>
          <w:jc w:val="center"/>
        </w:trPr>
        <w:tc>
          <w:tcPr>
            <w:tcW w:w="1006"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序号</w:t>
            </w:r>
          </w:p>
        </w:tc>
        <w:tc>
          <w:tcPr>
            <w:tcW w:w="2368"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文件技术要求</w:t>
            </w:r>
          </w:p>
        </w:tc>
        <w:tc>
          <w:tcPr>
            <w:tcW w:w="2168"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参选文件响应</w:t>
            </w:r>
          </w:p>
        </w:tc>
        <w:tc>
          <w:tcPr>
            <w:tcW w:w="1704"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偏离</w:t>
            </w:r>
          </w:p>
        </w:tc>
        <w:tc>
          <w:tcPr>
            <w:tcW w:w="1290"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3" w:hRule="atLeast"/>
          <w:jc w:val="center"/>
        </w:trPr>
        <w:tc>
          <w:tcPr>
            <w:tcW w:w="1006"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1</w:t>
            </w:r>
          </w:p>
        </w:tc>
        <w:tc>
          <w:tcPr>
            <w:tcW w:w="2368" w:type="dxa"/>
            <w:vAlign w:val="center"/>
          </w:tcPr>
          <w:p>
            <w:pPr>
              <w:widowControl/>
              <w:spacing w:after="240" w:line="360" w:lineRule="auto"/>
              <w:jc w:val="center"/>
              <w:rPr>
                <w:rFonts w:hint="default" w:ascii="仿宋" w:hAnsi="仿宋" w:eastAsia="仿宋" w:cs="仿宋"/>
                <w:color w:val="000000"/>
                <w:kern w:val="0"/>
                <w:sz w:val="24"/>
                <w:highlight w:val="none"/>
                <w:lang w:val="en-US" w:eastAsia="zh-CN"/>
              </w:rPr>
            </w:pPr>
          </w:p>
        </w:tc>
        <w:tc>
          <w:tcPr>
            <w:tcW w:w="2168" w:type="dxa"/>
            <w:vAlign w:val="center"/>
          </w:tcPr>
          <w:p>
            <w:pPr>
              <w:widowControl/>
              <w:spacing w:after="240" w:line="360" w:lineRule="auto"/>
              <w:jc w:val="center"/>
              <w:rPr>
                <w:rFonts w:hint="default" w:ascii="仿宋" w:hAnsi="仿宋" w:eastAsia="仿宋" w:cs="仿宋"/>
                <w:color w:val="000000"/>
                <w:kern w:val="0"/>
                <w:sz w:val="24"/>
                <w:highlight w:val="none"/>
                <w:lang w:val="en-US" w:eastAsia="zh-CN"/>
              </w:rPr>
            </w:pPr>
          </w:p>
        </w:tc>
        <w:tc>
          <w:tcPr>
            <w:tcW w:w="1704"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（正/负/无）</w:t>
            </w:r>
          </w:p>
        </w:tc>
        <w:tc>
          <w:tcPr>
            <w:tcW w:w="1290" w:type="dxa"/>
            <w:vAlign w:val="center"/>
          </w:tcPr>
          <w:p>
            <w:pPr>
              <w:widowControl/>
              <w:spacing w:after="240" w:line="360" w:lineRule="auto"/>
              <w:jc w:val="center"/>
              <w:rPr>
                <w:rFonts w:ascii="仿宋" w:hAnsi="仿宋" w:eastAsia="仿宋" w:cs="仿宋"/>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4" w:hRule="atLeast"/>
          <w:jc w:val="center"/>
        </w:trPr>
        <w:tc>
          <w:tcPr>
            <w:tcW w:w="1006" w:type="dxa"/>
            <w:vAlign w:val="center"/>
          </w:tcPr>
          <w:p>
            <w:pPr>
              <w:widowControl/>
              <w:spacing w:after="240" w:line="360" w:lineRule="auto"/>
              <w:jc w:val="center"/>
              <w:rPr>
                <w:rFonts w:ascii="仿宋" w:hAnsi="仿宋" w:eastAsia="仿宋" w:cs="仿宋"/>
                <w:color w:val="000000"/>
                <w:kern w:val="0"/>
                <w:sz w:val="24"/>
                <w:highlight w:val="none"/>
              </w:rPr>
            </w:pPr>
            <w:r>
              <w:rPr>
                <w:rFonts w:hint="eastAsia" w:ascii="仿宋" w:hAnsi="仿宋" w:eastAsia="仿宋" w:cs="仿宋"/>
                <w:color w:val="000000"/>
                <w:kern w:val="0"/>
                <w:sz w:val="24"/>
                <w:highlight w:val="none"/>
              </w:rPr>
              <w:t>2</w:t>
            </w:r>
          </w:p>
        </w:tc>
        <w:tc>
          <w:tcPr>
            <w:tcW w:w="2368" w:type="dxa"/>
            <w:vAlign w:val="center"/>
          </w:tcPr>
          <w:p>
            <w:pPr>
              <w:widowControl/>
              <w:spacing w:after="240" w:line="360" w:lineRule="auto"/>
              <w:jc w:val="center"/>
              <w:rPr>
                <w:rFonts w:ascii="仿宋" w:hAnsi="仿宋" w:eastAsia="仿宋" w:cs="仿宋"/>
                <w:color w:val="000000"/>
                <w:kern w:val="0"/>
                <w:sz w:val="24"/>
                <w:highlight w:val="none"/>
              </w:rPr>
            </w:pPr>
          </w:p>
        </w:tc>
        <w:tc>
          <w:tcPr>
            <w:tcW w:w="2168" w:type="dxa"/>
            <w:vAlign w:val="center"/>
          </w:tcPr>
          <w:p>
            <w:pPr>
              <w:widowControl/>
              <w:spacing w:after="240" w:line="360" w:lineRule="auto"/>
              <w:jc w:val="center"/>
              <w:rPr>
                <w:rFonts w:ascii="仿宋" w:hAnsi="仿宋" w:eastAsia="仿宋" w:cs="仿宋"/>
                <w:color w:val="000000"/>
                <w:kern w:val="0"/>
                <w:sz w:val="24"/>
                <w:highlight w:val="none"/>
              </w:rPr>
            </w:pPr>
          </w:p>
        </w:tc>
        <w:tc>
          <w:tcPr>
            <w:tcW w:w="1704" w:type="dxa"/>
            <w:vAlign w:val="center"/>
          </w:tcPr>
          <w:p>
            <w:pPr>
              <w:widowControl/>
              <w:spacing w:after="240" w:line="360" w:lineRule="auto"/>
              <w:jc w:val="center"/>
              <w:rPr>
                <w:rFonts w:ascii="仿宋" w:hAnsi="仿宋" w:eastAsia="仿宋" w:cs="仿宋"/>
                <w:color w:val="000000"/>
                <w:kern w:val="0"/>
                <w:sz w:val="24"/>
                <w:highlight w:val="none"/>
              </w:rPr>
            </w:pPr>
          </w:p>
        </w:tc>
        <w:tc>
          <w:tcPr>
            <w:tcW w:w="1290" w:type="dxa"/>
            <w:vAlign w:val="center"/>
          </w:tcPr>
          <w:p>
            <w:pPr>
              <w:widowControl/>
              <w:spacing w:after="240" w:line="360" w:lineRule="auto"/>
              <w:jc w:val="center"/>
              <w:rPr>
                <w:rFonts w:ascii="仿宋" w:hAnsi="仿宋" w:eastAsia="仿宋" w:cs="仿宋"/>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9" w:hRule="atLeast"/>
          <w:jc w:val="center"/>
        </w:trPr>
        <w:tc>
          <w:tcPr>
            <w:tcW w:w="1006" w:type="dxa"/>
            <w:vAlign w:val="center"/>
          </w:tcPr>
          <w:p>
            <w:pPr>
              <w:widowControl/>
              <w:spacing w:after="240" w:line="360" w:lineRule="auto"/>
              <w:jc w:val="center"/>
              <w:rPr>
                <w:rFonts w:hint="eastAsia" w:ascii="仿宋" w:hAnsi="仿宋" w:eastAsia="仿宋" w:cs="仿宋"/>
                <w:color w:val="000000"/>
                <w:kern w:val="0"/>
                <w:sz w:val="24"/>
                <w:highlight w:val="none"/>
                <w:lang w:val="en-US" w:eastAsia="zh-CN"/>
              </w:rPr>
            </w:pPr>
            <w:r>
              <w:rPr>
                <w:rFonts w:hint="eastAsia" w:ascii="仿宋" w:hAnsi="仿宋" w:eastAsia="仿宋" w:cs="仿宋"/>
                <w:color w:val="000000"/>
                <w:kern w:val="0"/>
                <w:sz w:val="24"/>
                <w:highlight w:val="none"/>
                <w:lang w:val="en-US" w:eastAsia="zh-CN"/>
              </w:rPr>
              <w:t>3</w:t>
            </w:r>
          </w:p>
        </w:tc>
        <w:tc>
          <w:tcPr>
            <w:tcW w:w="2368" w:type="dxa"/>
            <w:vAlign w:val="center"/>
          </w:tcPr>
          <w:p>
            <w:pPr>
              <w:widowControl/>
              <w:spacing w:after="240" w:line="360" w:lineRule="auto"/>
              <w:jc w:val="center"/>
              <w:rPr>
                <w:rFonts w:ascii="仿宋" w:hAnsi="仿宋" w:eastAsia="仿宋" w:cs="仿宋"/>
                <w:color w:val="000000"/>
                <w:kern w:val="0"/>
                <w:sz w:val="24"/>
                <w:highlight w:val="none"/>
              </w:rPr>
            </w:pPr>
          </w:p>
        </w:tc>
        <w:tc>
          <w:tcPr>
            <w:tcW w:w="2168" w:type="dxa"/>
            <w:vAlign w:val="center"/>
          </w:tcPr>
          <w:p>
            <w:pPr>
              <w:widowControl/>
              <w:spacing w:after="240" w:line="360" w:lineRule="auto"/>
              <w:jc w:val="center"/>
              <w:rPr>
                <w:rFonts w:ascii="仿宋" w:hAnsi="仿宋" w:eastAsia="仿宋" w:cs="仿宋"/>
                <w:color w:val="000000"/>
                <w:kern w:val="0"/>
                <w:sz w:val="24"/>
                <w:highlight w:val="none"/>
              </w:rPr>
            </w:pPr>
          </w:p>
        </w:tc>
        <w:tc>
          <w:tcPr>
            <w:tcW w:w="1704" w:type="dxa"/>
            <w:vAlign w:val="center"/>
          </w:tcPr>
          <w:p>
            <w:pPr>
              <w:widowControl/>
              <w:spacing w:after="240" w:line="360" w:lineRule="auto"/>
              <w:jc w:val="center"/>
              <w:rPr>
                <w:rFonts w:ascii="仿宋" w:hAnsi="仿宋" w:eastAsia="仿宋" w:cs="仿宋"/>
                <w:color w:val="000000"/>
                <w:kern w:val="0"/>
                <w:sz w:val="24"/>
                <w:highlight w:val="none"/>
              </w:rPr>
            </w:pPr>
          </w:p>
        </w:tc>
        <w:tc>
          <w:tcPr>
            <w:tcW w:w="1290" w:type="dxa"/>
            <w:vAlign w:val="center"/>
          </w:tcPr>
          <w:p>
            <w:pPr>
              <w:widowControl/>
              <w:spacing w:after="240" w:line="360" w:lineRule="auto"/>
              <w:jc w:val="center"/>
              <w:rPr>
                <w:rFonts w:ascii="仿宋" w:hAnsi="仿宋" w:eastAsia="仿宋" w:cs="仿宋"/>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9" w:hRule="atLeast"/>
          <w:jc w:val="center"/>
        </w:trPr>
        <w:tc>
          <w:tcPr>
            <w:tcW w:w="1006" w:type="dxa"/>
            <w:vAlign w:val="center"/>
          </w:tcPr>
          <w:p>
            <w:pPr>
              <w:widowControl/>
              <w:spacing w:after="240" w:line="360" w:lineRule="auto"/>
              <w:jc w:val="center"/>
              <w:rPr>
                <w:rFonts w:hint="eastAsia" w:ascii="仿宋" w:hAnsi="仿宋" w:eastAsia="仿宋" w:cs="仿宋"/>
                <w:color w:val="000000"/>
                <w:kern w:val="0"/>
                <w:sz w:val="24"/>
                <w:highlight w:val="none"/>
                <w:lang w:val="en-US" w:eastAsia="zh-CN"/>
              </w:rPr>
            </w:pPr>
            <w:r>
              <w:rPr>
                <w:rFonts w:hint="eastAsia" w:ascii="仿宋" w:hAnsi="仿宋" w:eastAsia="仿宋" w:cs="仿宋"/>
                <w:color w:val="000000"/>
                <w:kern w:val="0"/>
                <w:sz w:val="24"/>
                <w:highlight w:val="none"/>
                <w:lang w:val="en-US" w:eastAsia="zh-CN"/>
              </w:rPr>
              <w:t>……</w:t>
            </w:r>
          </w:p>
        </w:tc>
        <w:tc>
          <w:tcPr>
            <w:tcW w:w="2368" w:type="dxa"/>
            <w:vAlign w:val="center"/>
          </w:tcPr>
          <w:p>
            <w:pPr>
              <w:widowControl/>
              <w:spacing w:after="240" w:line="360" w:lineRule="auto"/>
              <w:jc w:val="center"/>
              <w:rPr>
                <w:rFonts w:ascii="仿宋" w:hAnsi="仿宋" w:eastAsia="仿宋" w:cs="仿宋"/>
                <w:color w:val="000000"/>
                <w:kern w:val="0"/>
                <w:sz w:val="24"/>
                <w:highlight w:val="none"/>
              </w:rPr>
            </w:pPr>
          </w:p>
        </w:tc>
        <w:tc>
          <w:tcPr>
            <w:tcW w:w="2168" w:type="dxa"/>
            <w:vAlign w:val="center"/>
          </w:tcPr>
          <w:p>
            <w:pPr>
              <w:widowControl/>
              <w:spacing w:after="240" w:line="360" w:lineRule="auto"/>
              <w:jc w:val="center"/>
              <w:rPr>
                <w:rFonts w:ascii="仿宋" w:hAnsi="仿宋" w:eastAsia="仿宋" w:cs="仿宋"/>
                <w:color w:val="000000"/>
                <w:kern w:val="0"/>
                <w:sz w:val="24"/>
                <w:highlight w:val="none"/>
              </w:rPr>
            </w:pPr>
          </w:p>
        </w:tc>
        <w:tc>
          <w:tcPr>
            <w:tcW w:w="1704" w:type="dxa"/>
            <w:vAlign w:val="center"/>
          </w:tcPr>
          <w:p>
            <w:pPr>
              <w:widowControl/>
              <w:spacing w:after="240" w:line="360" w:lineRule="auto"/>
              <w:jc w:val="center"/>
              <w:rPr>
                <w:rFonts w:ascii="仿宋" w:hAnsi="仿宋" w:eastAsia="仿宋" w:cs="仿宋"/>
                <w:color w:val="000000"/>
                <w:kern w:val="0"/>
                <w:sz w:val="24"/>
                <w:highlight w:val="none"/>
              </w:rPr>
            </w:pPr>
          </w:p>
        </w:tc>
        <w:tc>
          <w:tcPr>
            <w:tcW w:w="1290" w:type="dxa"/>
            <w:vAlign w:val="center"/>
          </w:tcPr>
          <w:p>
            <w:pPr>
              <w:widowControl/>
              <w:spacing w:after="240" w:line="360" w:lineRule="auto"/>
              <w:jc w:val="center"/>
              <w:rPr>
                <w:rFonts w:ascii="仿宋" w:hAnsi="仿宋" w:eastAsia="仿宋" w:cs="仿宋"/>
                <w:color w:val="000000"/>
                <w:kern w:val="0"/>
                <w:sz w:val="24"/>
                <w:highlight w:val="none"/>
              </w:rPr>
            </w:pPr>
          </w:p>
        </w:tc>
      </w:tr>
    </w:tbl>
    <w:p>
      <w:pPr>
        <w:widowControl/>
        <w:spacing w:after="240" w:line="360" w:lineRule="auto"/>
        <w:jc w:val="lef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填报说明：</w:t>
      </w:r>
      <w:r>
        <w:rPr>
          <w:rFonts w:hint="eastAsia" w:ascii="仿宋" w:hAnsi="仿宋" w:eastAsia="仿宋" w:cs="仿宋"/>
          <w:color w:val="000000"/>
          <w:kern w:val="0"/>
          <w:sz w:val="28"/>
          <w:szCs w:val="28"/>
          <w:highlight w:val="none"/>
          <w:lang w:eastAsia="zh-CN"/>
        </w:rPr>
        <w:t>参选人</w:t>
      </w:r>
      <w:r>
        <w:rPr>
          <w:rFonts w:hint="eastAsia" w:ascii="仿宋" w:hAnsi="仿宋" w:eastAsia="仿宋" w:cs="仿宋"/>
          <w:color w:val="000000"/>
          <w:kern w:val="0"/>
          <w:sz w:val="28"/>
          <w:szCs w:val="28"/>
          <w:highlight w:val="none"/>
        </w:rPr>
        <w:t>必须仔细阅读比选文件《技术要求》有关条款，并对所有</w:t>
      </w:r>
      <w:r>
        <w:rPr>
          <w:rFonts w:hint="eastAsia" w:ascii="仿宋" w:hAnsi="仿宋" w:eastAsia="仿宋" w:cs="仿宋"/>
          <w:color w:val="000000"/>
          <w:kern w:val="0"/>
          <w:sz w:val="28"/>
          <w:szCs w:val="28"/>
          <w:highlight w:val="none"/>
          <w:lang w:val="en-US" w:eastAsia="zh-CN"/>
        </w:rPr>
        <w:t>技术要求响应情况填入</w:t>
      </w:r>
      <w:r>
        <w:rPr>
          <w:rFonts w:hint="eastAsia" w:ascii="仿宋" w:hAnsi="仿宋" w:eastAsia="仿宋" w:cs="仿宋"/>
          <w:color w:val="000000"/>
          <w:kern w:val="0"/>
          <w:sz w:val="28"/>
          <w:szCs w:val="28"/>
          <w:highlight w:val="none"/>
        </w:rPr>
        <w:t>偏离列入上表</w:t>
      </w:r>
      <w:r>
        <w:rPr>
          <w:rFonts w:hint="eastAsia" w:ascii="仿宋" w:hAnsi="仿宋" w:eastAsia="仿宋" w:cs="仿宋"/>
          <w:color w:val="000000"/>
          <w:kern w:val="0"/>
          <w:sz w:val="28"/>
          <w:szCs w:val="28"/>
          <w:highlight w:val="none"/>
          <w:lang w:eastAsia="zh-CN"/>
        </w:rPr>
        <w:t>，</w:t>
      </w:r>
      <w:r>
        <w:rPr>
          <w:rFonts w:hint="eastAsia" w:ascii="仿宋" w:hAnsi="仿宋" w:eastAsia="仿宋" w:cs="仿宋"/>
          <w:b/>
          <w:bCs/>
          <w:color w:val="000000"/>
          <w:kern w:val="0"/>
          <w:sz w:val="28"/>
          <w:szCs w:val="28"/>
          <w:highlight w:val="none"/>
          <w:u w:val="single"/>
          <w:lang w:val="en-US" w:eastAsia="zh-CN"/>
        </w:rPr>
        <w:t>无偏离填“完全响应”，正偏离填对应的内容，不允许有负偏离</w:t>
      </w:r>
      <w:r>
        <w:rPr>
          <w:rFonts w:hint="eastAsia" w:ascii="仿宋" w:hAnsi="仿宋" w:eastAsia="仿宋" w:cs="仿宋"/>
          <w:color w:val="000000"/>
          <w:kern w:val="0"/>
          <w:sz w:val="28"/>
          <w:szCs w:val="28"/>
          <w:highlight w:val="none"/>
        </w:rPr>
        <w:t>。</w:t>
      </w:r>
    </w:p>
    <w:p>
      <w:pPr>
        <w:widowControl/>
        <w:spacing w:after="240" w:line="360" w:lineRule="auto"/>
        <w:jc w:val="left"/>
        <w:rPr>
          <w:rFonts w:hint="eastAsia" w:ascii="仿宋" w:hAnsi="仿宋" w:eastAsia="仿宋" w:cs="仿宋"/>
          <w:color w:val="000000"/>
          <w:kern w:val="0"/>
          <w:sz w:val="28"/>
          <w:szCs w:val="28"/>
          <w:highlight w:val="none"/>
        </w:rPr>
      </w:pPr>
    </w:p>
    <w:p>
      <w:pPr>
        <w:wordWrap w:val="0"/>
        <w:spacing w:line="600" w:lineRule="auto"/>
        <w:ind w:firstLine="3920" w:firstLineChars="14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盖公</w:t>
      </w:r>
      <w:r>
        <w:rPr>
          <w:rFonts w:hint="eastAsia" w:ascii="仿宋" w:hAnsi="仿宋" w:eastAsia="仿宋" w:cs="仿宋"/>
          <w:color w:val="auto"/>
          <w:sz w:val="28"/>
          <w:szCs w:val="28"/>
          <w:highlight w:val="none"/>
        </w:rPr>
        <w:t>章）</w:t>
      </w:r>
    </w:p>
    <w:p>
      <w:pPr>
        <w:spacing w:line="600" w:lineRule="auto"/>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法定代表人或</w:t>
      </w:r>
      <w:r>
        <w:rPr>
          <w:rFonts w:hint="eastAsia" w:ascii="仿宋" w:hAnsi="仿宋" w:eastAsia="仿宋" w:cs="仿宋"/>
          <w:color w:val="auto"/>
          <w:sz w:val="28"/>
          <w:szCs w:val="28"/>
          <w:highlight w:val="none"/>
          <w:lang w:val="en-US" w:eastAsia="zh-CN"/>
        </w:rPr>
        <w:t>委托</w:t>
      </w:r>
      <w:r>
        <w:rPr>
          <w:rFonts w:hint="eastAsia" w:ascii="仿宋" w:hAnsi="仿宋" w:eastAsia="仿宋" w:cs="仿宋"/>
          <w:color w:val="auto"/>
          <w:sz w:val="28"/>
          <w:szCs w:val="28"/>
          <w:highlight w:val="none"/>
        </w:rPr>
        <w:t>代理人：（</w:t>
      </w:r>
      <w:r>
        <w:rPr>
          <w:rFonts w:hint="eastAsia" w:ascii="仿宋" w:hAnsi="仿宋" w:eastAsia="仿宋" w:cs="仿宋"/>
          <w:color w:val="auto"/>
          <w:sz w:val="28"/>
          <w:szCs w:val="28"/>
          <w:highlight w:val="none"/>
          <w:lang w:val="en-US" w:eastAsia="zh-CN"/>
        </w:rPr>
        <w:t>签字</w:t>
      </w:r>
      <w:r>
        <w:rPr>
          <w:rFonts w:hint="eastAsia" w:ascii="仿宋" w:hAnsi="仿宋" w:eastAsia="仿宋" w:cs="仿宋"/>
          <w:color w:val="auto"/>
          <w:sz w:val="28"/>
          <w:szCs w:val="28"/>
          <w:highlight w:val="none"/>
        </w:rPr>
        <w:t xml:space="preserve">）            </w:t>
      </w:r>
    </w:p>
    <w:p>
      <w:pPr>
        <w:pStyle w:val="15"/>
        <w:spacing w:line="600" w:lineRule="auto"/>
        <w:ind w:left="0" w:leftChars="0" w:firstLine="3920" w:firstLineChars="14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日期：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日</w:t>
      </w:r>
    </w:p>
    <w:p>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pPr>
        <w:pStyle w:val="2"/>
        <w:snapToGrid w:val="0"/>
        <w:spacing w:before="0" w:after="0" w:line="360" w:lineRule="auto"/>
        <w:ind w:left="3107" w:hanging="3107"/>
        <w:rPr>
          <w:rFonts w:ascii="仿宋" w:hAnsi="仿宋" w:eastAsia="仿宋" w:cs="仿宋"/>
          <w:color w:val="auto"/>
          <w:sz w:val="28"/>
          <w:szCs w:val="28"/>
          <w:highlight w:val="none"/>
        </w:rPr>
      </w:pPr>
      <w:bookmarkStart w:id="212" w:name="_Toc30924"/>
      <w:bookmarkStart w:id="213" w:name="_Toc9049"/>
      <w:bookmarkStart w:id="214" w:name="_Toc325"/>
      <w:bookmarkStart w:id="215" w:name="_Toc9727"/>
      <w:r>
        <w:rPr>
          <w:rFonts w:hint="eastAsia" w:ascii="仿宋" w:hAnsi="仿宋" w:eastAsia="仿宋" w:cs="仿宋"/>
          <w:snapToGrid w:val="0"/>
          <w:color w:val="auto"/>
          <w:kern w:val="0"/>
          <w:sz w:val="28"/>
          <w:szCs w:val="28"/>
          <w:highlight w:val="none"/>
        </w:rPr>
        <w:t>附件四：参选承诺函</w:t>
      </w:r>
      <w:bookmarkEnd w:id="212"/>
      <w:bookmarkEnd w:id="213"/>
      <w:bookmarkEnd w:id="214"/>
      <w:bookmarkEnd w:id="215"/>
    </w:p>
    <w:p>
      <w:pPr>
        <w:tabs>
          <w:tab w:val="left" w:pos="6300"/>
        </w:tabs>
        <w:adjustRightInd w:val="0"/>
        <w:snapToGrid w:val="0"/>
        <w:spacing w:line="360" w:lineRule="auto"/>
        <w:ind w:left="1265" w:hanging="1265" w:hangingChars="45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参选承诺函</w:t>
      </w:r>
      <w:bookmarkEnd w:id="211"/>
    </w:p>
    <w:p>
      <w:pPr>
        <w:tabs>
          <w:tab w:val="left" w:pos="6300"/>
        </w:tabs>
        <w:adjustRightInd w:val="0"/>
        <w:snapToGrid w:val="0"/>
        <w:spacing w:line="360" w:lineRule="auto"/>
        <w:ind w:left="1265" w:hanging="1265" w:hangingChars="450"/>
        <w:jc w:val="center"/>
        <w:rPr>
          <w:rFonts w:ascii="仿宋" w:hAnsi="仿宋" w:eastAsia="仿宋" w:cs="仿宋"/>
          <w:b/>
          <w:color w:val="auto"/>
          <w:sz w:val="28"/>
          <w:szCs w:val="28"/>
          <w:highlight w:val="none"/>
        </w:rPr>
      </w:pPr>
    </w:p>
    <w:p>
      <w:pPr>
        <w:tabs>
          <w:tab w:val="left" w:pos="6300"/>
        </w:tabs>
        <w:adjustRightInd w:val="0"/>
        <w:snapToGrid w:val="0"/>
        <w:spacing w:line="360" w:lineRule="auto"/>
        <w:ind w:left="1260" w:hanging="1260" w:hangingChars="45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项目名称：重庆轨道交通九号线二期工程（兴科大道～花石沟）</w:t>
      </w:r>
      <w:r>
        <w:rPr>
          <w:rFonts w:hint="eastAsia" w:ascii="仿宋" w:hAnsi="仿宋" w:eastAsia="仿宋" w:cs="仿宋"/>
          <w:color w:val="auto"/>
          <w:sz w:val="28"/>
          <w:szCs w:val="28"/>
          <w:highlight w:val="none"/>
          <w:lang w:val="en-US" w:eastAsia="zh-CN"/>
        </w:rPr>
        <w:t>风水电系统区间箱采购</w:t>
      </w:r>
    </w:p>
    <w:p>
      <w:pPr>
        <w:tabs>
          <w:tab w:val="left" w:pos="6300"/>
        </w:tabs>
        <w:adjustRightInd w:val="0"/>
        <w:snapToGrid w:val="0"/>
        <w:spacing w:line="360" w:lineRule="auto"/>
        <w:rPr>
          <w:rFonts w:ascii="仿宋" w:hAnsi="仿宋" w:eastAsia="仿宋" w:cs="仿宋"/>
          <w:color w:val="auto"/>
          <w:sz w:val="28"/>
          <w:szCs w:val="28"/>
          <w:highlight w:val="none"/>
        </w:rPr>
      </w:pPr>
    </w:p>
    <w:p>
      <w:pPr>
        <w:tabs>
          <w:tab w:val="left" w:pos="6300"/>
        </w:tabs>
        <w:adjustRightInd w:val="0"/>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致：重庆机电控股集团机电工程技术有限公司</w:t>
      </w:r>
    </w:p>
    <w:p>
      <w:pPr>
        <w:tabs>
          <w:tab w:val="left" w:pos="6300"/>
        </w:tabs>
        <w:adjustRightInd w:val="0"/>
        <w:snapToGrid w:val="0"/>
        <w:spacing w:line="360" w:lineRule="auto"/>
        <w:ind w:firstLine="570"/>
        <w:rPr>
          <w:rFonts w:ascii="仿宋" w:hAnsi="仿宋" w:eastAsia="仿宋" w:cs="仿宋"/>
          <w:color w:val="auto"/>
          <w:sz w:val="28"/>
          <w:szCs w:val="28"/>
          <w:highlight w:val="none"/>
        </w:rPr>
      </w:pPr>
    </w:p>
    <w:p>
      <w:pPr>
        <w:tabs>
          <w:tab w:val="left" w:pos="6300"/>
        </w:tabs>
        <w:adjustRightInd w:val="0"/>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eastAsia="zh-CN"/>
        </w:rPr>
        <w:t>参选人</w:t>
      </w:r>
      <w:r>
        <w:rPr>
          <w:rFonts w:hint="eastAsia" w:ascii="仿宋" w:hAnsi="仿宋" w:eastAsia="仿宋" w:cs="仿宋"/>
          <w:color w:val="auto"/>
          <w:sz w:val="28"/>
          <w:szCs w:val="28"/>
          <w:highlight w:val="none"/>
          <w:u w:val="single"/>
        </w:rPr>
        <w:t>名称）</w:t>
      </w:r>
      <w:r>
        <w:rPr>
          <w:rFonts w:hint="eastAsia" w:ascii="仿宋" w:hAnsi="仿宋" w:eastAsia="仿宋" w:cs="仿宋"/>
          <w:color w:val="auto"/>
          <w:sz w:val="28"/>
          <w:szCs w:val="28"/>
          <w:highlight w:val="none"/>
        </w:rPr>
        <w:t>，在此作如下承诺：</w:t>
      </w:r>
    </w:p>
    <w:p>
      <w:pPr>
        <w:tabs>
          <w:tab w:val="left" w:pos="6300"/>
        </w:tabs>
        <w:adjustRightInd w:val="0"/>
        <w:snapToGrid w:val="0"/>
        <w:spacing w:line="360" w:lineRule="auto"/>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1．完全理解和接受参选文件的一切规定和要求。</w:t>
      </w:r>
    </w:p>
    <w:p>
      <w:pPr>
        <w:tabs>
          <w:tab w:val="left" w:pos="6300"/>
        </w:tabs>
        <w:adjustRightInd w:val="0"/>
        <w:snapToGrid w:val="0"/>
        <w:spacing w:line="360" w:lineRule="auto"/>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若达成意向购买，我方将按照参选文件的具体规定与重庆机电控股集团机电工程技术有限公司签订合同，并且严格履行合同义务，按时交货。如果在合同执行过程中，发现产品质量有问题我方一定按要求修复/重新更换，并承担相应的经济责任。</w:t>
      </w:r>
    </w:p>
    <w:p>
      <w:pPr>
        <w:tabs>
          <w:tab w:val="left" w:pos="6300"/>
        </w:tabs>
        <w:adjustRightInd w:val="0"/>
        <w:snapToGrid w:val="0"/>
        <w:spacing w:line="360" w:lineRule="auto"/>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3．在整个参选过程中，我方若有违规行为，贵方可按参选文件和《</w:t>
      </w:r>
      <w:r>
        <w:rPr>
          <w:rFonts w:hint="eastAsia" w:ascii="仿宋" w:hAnsi="仿宋" w:eastAsia="仿宋" w:cs="仿宋"/>
          <w:color w:val="auto"/>
          <w:sz w:val="28"/>
          <w:szCs w:val="28"/>
          <w:highlight w:val="none"/>
          <w:lang w:val="en-US" w:eastAsia="zh-CN"/>
        </w:rPr>
        <w:t>民法典</w:t>
      </w:r>
      <w:r>
        <w:rPr>
          <w:rFonts w:hint="eastAsia" w:ascii="仿宋" w:hAnsi="仿宋" w:eastAsia="仿宋" w:cs="仿宋"/>
          <w:color w:val="auto"/>
          <w:sz w:val="28"/>
          <w:szCs w:val="28"/>
          <w:highlight w:val="none"/>
        </w:rPr>
        <w:t>》之规定给予惩罚，我方完全接受。</w:t>
      </w:r>
    </w:p>
    <w:p>
      <w:pPr>
        <w:tabs>
          <w:tab w:val="left" w:pos="6300"/>
        </w:tabs>
        <w:adjustRightInd w:val="0"/>
        <w:snapToGrid w:val="0"/>
        <w:spacing w:line="360" w:lineRule="auto"/>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4．若中选，本承诺函将成为合同不可分割的一部分，与合同具有同等的法律效力。</w:t>
      </w:r>
    </w:p>
    <w:p>
      <w:pPr>
        <w:tabs>
          <w:tab w:val="left" w:pos="6300"/>
        </w:tabs>
        <w:adjustRightInd w:val="0"/>
        <w:snapToGrid w:val="0"/>
        <w:spacing w:line="360" w:lineRule="auto"/>
        <w:ind w:firstLine="570"/>
        <w:rPr>
          <w:rFonts w:hint="eastAsia" w:ascii="仿宋" w:hAnsi="仿宋" w:eastAsia="仿宋" w:cs="仿宋"/>
          <w:color w:val="auto"/>
          <w:sz w:val="28"/>
          <w:szCs w:val="28"/>
          <w:highlight w:val="none"/>
        </w:rPr>
      </w:pPr>
    </w:p>
    <w:p>
      <w:pPr>
        <w:tabs>
          <w:tab w:val="left" w:pos="6300"/>
        </w:tabs>
        <w:adjustRightInd w:val="0"/>
        <w:snapToGrid w:val="0"/>
        <w:spacing w:line="360" w:lineRule="auto"/>
        <w:ind w:firstLine="570"/>
        <w:rPr>
          <w:rFonts w:hint="eastAsia" w:ascii="仿宋" w:hAnsi="仿宋" w:eastAsia="仿宋" w:cs="仿宋"/>
          <w:color w:val="auto"/>
          <w:sz w:val="28"/>
          <w:szCs w:val="28"/>
          <w:highlight w:val="none"/>
        </w:rPr>
      </w:pPr>
    </w:p>
    <w:p>
      <w:pPr>
        <w:wordWrap w:val="0"/>
        <w:spacing w:line="600" w:lineRule="auto"/>
        <w:ind w:firstLine="3920" w:firstLineChars="14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参选人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盖公</w:t>
      </w:r>
      <w:r>
        <w:rPr>
          <w:rFonts w:hint="eastAsia" w:ascii="仿宋" w:hAnsi="仿宋" w:eastAsia="仿宋" w:cs="仿宋"/>
          <w:color w:val="auto"/>
          <w:sz w:val="28"/>
          <w:szCs w:val="28"/>
          <w:highlight w:val="none"/>
        </w:rPr>
        <w:t>章）</w:t>
      </w:r>
    </w:p>
    <w:p>
      <w:pPr>
        <w:spacing w:line="600" w:lineRule="auto"/>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法定代表人或</w:t>
      </w:r>
      <w:r>
        <w:rPr>
          <w:rFonts w:hint="eastAsia" w:ascii="仿宋" w:hAnsi="仿宋" w:eastAsia="仿宋" w:cs="仿宋"/>
          <w:color w:val="auto"/>
          <w:sz w:val="28"/>
          <w:szCs w:val="28"/>
          <w:highlight w:val="none"/>
          <w:lang w:val="en-US" w:eastAsia="zh-CN"/>
        </w:rPr>
        <w:t>委托</w:t>
      </w:r>
      <w:r>
        <w:rPr>
          <w:rFonts w:hint="eastAsia" w:ascii="仿宋" w:hAnsi="仿宋" w:eastAsia="仿宋" w:cs="仿宋"/>
          <w:color w:val="auto"/>
          <w:sz w:val="28"/>
          <w:szCs w:val="28"/>
          <w:highlight w:val="none"/>
        </w:rPr>
        <w:t>代理人：（</w:t>
      </w:r>
      <w:r>
        <w:rPr>
          <w:rFonts w:hint="eastAsia" w:ascii="仿宋" w:hAnsi="仿宋" w:eastAsia="仿宋" w:cs="仿宋"/>
          <w:color w:val="auto"/>
          <w:sz w:val="28"/>
          <w:szCs w:val="28"/>
          <w:highlight w:val="none"/>
          <w:lang w:val="en-US" w:eastAsia="zh-CN"/>
        </w:rPr>
        <w:t>签字</w:t>
      </w:r>
      <w:r>
        <w:rPr>
          <w:rFonts w:hint="eastAsia" w:ascii="仿宋" w:hAnsi="仿宋" w:eastAsia="仿宋" w:cs="仿宋"/>
          <w:color w:val="auto"/>
          <w:sz w:val="28"/>
          <w:szCs w:val="28"/>
          <w:highlight w:val="none"/>
        </w:rPr>
        <w:t xml:space="preserve">）            </w:t>
      </w:r>
    </w:p>
    <w:p>
      <w:pPr>
        <w:pStyle w:val="15"/>
        <w:spacing w:line="600" w:lineRule="auto"/>
        <w:ind w:left="0" w:leftChars="0" w:firstLine="3920" w:firstLineChars="14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日期：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日</w:t>
      </w:r>
    </w:p>
    <w:p>
      <w:pPr>
        <w:tabs>
          <w:tab w:val="left" w:pos="6300"/>
        </w:tabs>
        <w:snapToGrid w:val="0"/>
        <w:spacing w:line="360" w:lineRule="auto"/>
        <w:jc w:val="left"/>
        <w:rPr>
          <w:rFonts w:ascii="仿宋" w:hAnsi="仿宋" w:eastAsia="仿宋" w:cs="仿宋"/>
          <w:color w:val="auto"/>
          <w:sz w:val="28"/>
          <w:szCs w:val="28"/>
          <w:highlight w:val="none"/>
        </w:rPr>
      </w:pPr>
    </w:p>
    <w:p>
      <w:pPr>
        <w:pStyle w:val="2"/>
        <w:snapToGrid w:val="0"/>
        <w:spacing w:before="0" w:after="0" w:line="360" w:lineRule="auto"/>
        <w:ind w:left="3107" w:hanging="3107"/>
        <w:rPr>
          <w:rFonts w:ascii="仿宋" w:hAnsi="仿宋" w:eastAsia="仿宋" w:cs="仿宋"/>
          <w:snapToGrid w:val="0"/>
          <w:color w:val="auto"/>
          <w:kern w:val="0"/>
          <w:sz w:val="28"/>
          <w:szCs w:val="28"/>
          <w:highlight w:val="none"/>
        </w:rPr>
      </w:pPr>
      <w:r>
        <w:rPr>
          <w:rFonts w:hint="eastAsia" w:ascii="仿宋" w:hAnsi="仿宋" w:eastAsia="仿宋" w:cs="仿宋"/>
          <w:color w:val="auto"/>
          <w:sz w:val="28"/>
          <w:szCs w:val="28"/>
          <w:highlight w:val="none"/>
        </w:rPr>
        <w:br w:type="page"/>
      </w:r>
      <w:bookmarkStart w:id="216" w:name="_Toc31015"/>
      <w:bookmarkStart w:id="217" w:name="_Toc31656"/>
      <w:bookmarkStart w:id="218" w:name="_Toc22143"/>
      <w:bookmarkStart w:id="219" w:name="_Toc20972"/>
      <w:r>
        <w:rPr>
          <w:rFonts w:hint="eastAsia" w:ascii="仿宋" w:hAnsi="仿宋" w:eastAsia="仿宋" w:cs="仿宋"/>
          <w:snapToGrid w:val="0"/>
          <w:color w:val="auto"/>
          <w:kern w:val="0"/>
          <w:sz w:val="28"/>
          <w:szCs w:val="28"/>
          <w:highlight w:val="none"/>
        </w:rPr>
        <w:t>附件五：授权委托书</w:t>
      </w:r>
      <w:bookmarkEnd w:id="216"/>
      <w:bookmarkEnd w:id="217"/>
      <w:bookmarkEnd w:id="218"/>
      <w:bookmarkEnd w:id="219"/>
    </w:p>
    <w:p>
      <w:pPr>
        <w:keepNext/>
        <w:keepLines/>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授权委托书</w:t>
      </w:r>
    </w:p>
    <w:p>
      <w:pPr>
        <w:keepNext/>
        <w:keepLines/>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4"/>
          <w:szCs w:val="24"/>
          <w:highlight w:val="none"/>
        </w:rPr>
      </w:pPr>
    </w:p>
    <w:p>
      <w:pPr>
        <w:tabs>
          <w:tab w:val="left" w:pos="1680"/>
          <w:tab w:val="left" w:pos="4215"/>
          <w:tab w:val="left" w:pos="4305"/>
          <w:tab w:val="left" w:pos="8000"/>
        </w:tabs>
        <w:autoSpaceDE w:val="0"/>
        <w:autoSpaceDN w:val="0"/>
        <w:adjustRightInd w:val="0"/>
        <w:snapToGrid w:val="0"/>
        <w:spacing w:line="360" w:lineRule="auto"/>
        <w:ind w:firstLine="42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本人</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rPr>
        <w:t>（姓名）系</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rPr>
        <w:t>（</w:t>
      </w:r>
      <w:r>
        <w:rPr>
          <w:rFonts w:hint="eastAsia" w:ascii="仿宋" w:hAnsi="仿宋" w:eastAsia="仿宋" w:cs="仿宋"/>
          <w:color w:val="auto"/>
          <w:spacing w:val="-1"/>
          <w:kern w:val="0"/>
          <w:sz w:val="24"/>
          <w:szCs w:val="24"/>
          <w:highlight w:val="none"/>
          <w:lang w:eastAsia="zh-CN"/>
        </w:rPr>
        <w:t>参选人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spacing w:val="1"/>
          <w:kern w:val="0"/>
          <w:sz w:val="24"/>
          <w:szCs w:val="24"/>
          <w:highlight w:val="none"/>
        </w:rPr>
        <w:t>）</w:t>
      </w:r>
      <w:r>
        <w:rPr>
          <w:rFonts w:hint="eastAsia" w:ascii="仿宋" w:hAnsi="仿宋" w:eastAsia="仿宋" w:cs="仿宋"/>
          <w:color w:val="auto"/>
          <w:kern w:val="0"/>
          <w:sz w:val="24"/>
          <w:szCs w:val="24"/>
          <w:highlight w:val="none"/>
        </w:rPr>
        <w:t>的法定代</w:t>
      </w:r>
      <w:r>
        <w:rPr>
          <w:rFonts w:hint="eastAsia" w:ascii="仿宋" w:hAnsi="仿宋" w:eastAsia="仿宋" w:cs="仿宋"/>
          <w:color w:val="auto"/>
          <w:spacing w:val="1"/>
          <w:kern w:val="0"/>
          <w:sz w:val="24"/>
          <w:szCs w:val="24"/>
          <w:highlight w:val="none"/>
        </w:rPr>
        <w:t>表</w:t>
      </w:r>
      <w:r>
        <w:rPr>
          <w:rFonts w:hint="eastAsia" w:ascii="仿宋" w:hAnsi="仿宋" w:eastAsia="仿宋" w:cs="仿宋"/>
          <w:color w:val="auto"/>
          <w:kern w:val="0"/>
          <w:sz w:val="24"/>
          <w:szCs w:val="24"/>
          <w:highlight w:val="none"/>
        </w:rPr>
        <w:t>人，现委托</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rPr>
        <w:t>（姓名）为我方代理人。代理人根据授权，以我方名义签署、澄清、说明、补正、递交、撤回、修改</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rPr>
        <w:t>（项</w:t>
      </w:r>
      <w:r>
        <w:rPr>
          <w:rFonts w:hint="eastAsia" w:ascii="仿宋" w:hAnsi="仿宋" w:eastAsia="仿宋" w:cs="仿宋"/>
          <w:color w:val="auto"/>
          <w:spacing w:val="-1"/>
          <w:kern w:val="0"/>
          <w:sz w:val="24"/>
          <w:szCs w:val="24"/>
          <w:highlight w:val="none"/>
        </w:rPr>
        <w:t>目</w:t>
      </w:r>
      <w:r>
        <w:rPr>
          <w:rFonts w:hint="eastAsia" w:ascii="仿宋" w:hAnsi="仿宋" w:eastAsia="仿宋" w:cs="仿宋"/>
          <w:color w:val="auto"/>
          <w:kern w:val="0"/>
          <w:sz w:val="24"/>
          <w:szCs w:val="24"/>
          <w:highlight w:val="none"/>
        </w:rPr>
        <w:t>名称）参选文件、签订合同和处理有关事宜，其法律后果由我方承担。</w:t>
      </w:r>
    </w:p>
    <w:p>
      <w:pPr>
        <w:tabs>
          <w:tab w:val="left" w:pos="1680"/>
          <w:tab w:val="left" w:pos="4215"/>
          <w:tab w:val="left" w:pos="4305"/>
          <w:tab w:val="left" w:pos="8000"/>
        </w:tabs>
        <w:autoSpaceDE w:val="0"/>
        <w:autoSpaceDN w:val="0"/>
        <w:adjustRightInd w:val="0"/>
        <w:snapToGrid w:val="0"/>
        <w:spacing w:line="360" w:lineRule="auto"/>
        <w:ind w:firstLine="42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委托</w:t>
      </w:r>
      <w:r>
        <w:rPr>
          <w:rFonts w:hint="eastAsia" w:ascii="仿宋" w:hAnsi="仿宋" w:eastAsia="仿宋" w:cs="仿宋"/>
          <w:color w:val="auto"/>
          <w:spacing w:val="-1"/>
          <w:kern w:val="0"/>
          <w:sz w:val="24"/>
          <w:szCs w:val="24"/>
          <w:highlight w:val="none"/>
        </w:rPr>
        <w:t>期</w:t>
      </w:r>
      <w:r>
        <w:rPr>
          <w:rFonts w:hint="eastAsia" w:ascii="仿宋" w:hAnsi="仿宋" w:eastAsia="仿宋" w:cs="仿宋"/>
          <w:color w:val="auto"/>
          <w:kern w:val="0"/>
          <w:sz w:val="24"/>
          <w:szCs w:val="24"/>
          <w:highlight w:val="none"/>
        </w:rPr>
        <w:t>限：</w:t>
      </w:r>
      <w:r>
        <w:rPr>
          <w:rFonts w:hint="eastAsia" w:ascii="仿宋" w:hAnsi="仿宋" w:eastAsia="仿宋" w:cs="仿宋"/>
          <w:color w:val="auto"/>
          <w:kern w:val="0"/>
          <w:sz w:val="24"/>
          <w:szCs w:val="24"/>
          <w:highlight w:val="none"/>
          <w:lang w:val="en-US" w:eastAsia="zh-CN"/>
        </w:rPr>
        <w:t xml:space="preserve"> 自递交比选文件时起，到项目竣工验收后止</w:t>
      </w:r>
      <w:r>
        <w:rPr>
          <w:rFonts w:hint="eastAsia" w:ascii="仿宋" w:hAnsi="仿宋" w:eastAsia="仿宋" w:cs="仿宋"/>
          <w:color w:val="auto"/>
          <w:kern w:val="0"/>
          <w:sz w:val="24"/>
          <w:szCs w:val="24"/>
          <w:highlight w:val="none"/>
        </w:rPr>
        <w:t>。</w:t>
      </w:r>
    </w:p>
    <w:p>
      <w:pPr>
        <w:tabs>
          <w:tab w:val="left" w:pos="1680"/>
          <w:tab w:val="left" w:pos="4215"/>
          <w:tab w:val="left" w:pos="4305"/>
          <w:tab w:val="left" w:pos="8000"/>
        </w:tabs>
        <w:autoSpaceDE w:val="0"/>
        <w:autoSpaceDN w:val="0"/>
        <w:adjustRightInd w:val="0"/>
        <w:snapToGrid w:val="0"/>
        <w:spacing w:line="360" w:lineRule="auto"/>
        <w:ind w:firstLine="42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代理人无转委托权。</w:t>
      </w:r>
    </w:p>
    <w:p>
      <w:pPr>
        <w:tabs>
          <w:tab w:val="left" w:pos="1680"/>
          <w:tab w:val="left" w:pos="4215"/>
          <w:tab w:val="left" w:pos="4305"/>
          <w:tab w:val="left" w:pos="8000"/>
        </w:tabs>
        <w:autoSpaceDE w:val="0"/>
        <w:autoSpaceDN w:val="0"/>
        <w:adjustRightInd w:val="0"/>
        <w:snapToGrid w:val="0"/>
        <w:spacing w:line="360" w:lineRule="auto"/>
        <w:ind w:firstLine="42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附：法定代表人身份证明</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身份证正反面</w:t>
      </w:r>
      <w:r>
        <w:rPr>
          <w:rFonts w:hint="eastAsia" w:ascii="仿宋" w:hAnsi="仿宋" w:eastAsia="仿宋" w:cs="仿宋"/>
          <w:color w:val="auto"/>
          <w:kern w:val="0"/>
          <w:sz w:val="24"/>
          <w:szCs w:val="24"/>
          <w:highlight w:val="none"/>
          <w:lang w:eastAsia="zh-CN"/>
        </w:rPr>
        <w:t>）</w:t>
      </w:r>
    </w:p>
    <w:p>
      <w:pPr>
        <w:autoSpaceDE w:val="0"/>
        <w:autoSpaceDN w:val="0"/>
        <w:adjustRightInd w:val="0"/>
        <w:snapToGrid w:val="0"/>
        <w:spacing w:line="360" w:lineRule="auto"/>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委托代理人身份证明</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身份证正反面</w:t>
      </w:r>
      <w:r>
        <w:rPr>
          <w:rFonts w:hint="eastAsia" w:ascii="仿宋" w:hAnsi="仿宋" w:eastAsia="仿宋" w:cs="仿宋"/>
          <w:color w:val="auto"/>
          <w:kern w:val="0"/>
          <w:sz w:val="24"/>
          <w:szCs w:val="24"/>
          <w:highlight w:val="none"/>
          <w:lang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8"/>
        <w:gridCol w:w="4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5" w:hRule="atLeast"/>
        </w:trPr>
        <w:tc>
          <w:tcPr>
            <w:tcW w:w="4518" w:type="dxa"/>
          </w:tcPr>
          <w:p>
            <w:pPr>
              <w:tabs>
                <w:tab w:val="left" w:pos="4200"/>
                <w:tab w:val="left" w:pos="4620"/>
              </w:tabs>
              <w:autoSpaceDE w:val="0"/>
              <w:autoSpaceDN w:val="0"/>
              <w:adjustRightInd w:val="0"/>
              <w:snapToGrid w:val="0"/>
              <w:spacing w:line="360" w:lineRule="auto"/>
              <w:jc w:val="left"/>
              <w:rPr>
                <w:rFonts w:hint="eastAsia" w:ascii="仿宋" w:hAnsi="仿宋" w:eastAsia="仿宋" w:cs="仿宋"/>
                <w:color w:val="auto"/>
                <w:kern w:val="0"/>
                <w:sz w:val="24"/>
                <w:szCs w:val="24"/>
                <w:highlight w:val="none"/>
                <w:vertAlign w:val="baseline"/>
              </w:rPr>
            </w:pPr>
            <w:r>
              <w:rPr>
                <w:rFonts w:hint="eastAsia" w:ascii="仿宋" w:hAnsi="仿宋" w:eastAsia="仿宋" w:cs="仿宋"/>
                <w:color w:val="auto"/>
                <w:kern w:val="0"/>
                <w:sz w:val="24"/>
                <w:szCs w:val="24"/>
                <w:highlight w:val="none"/>
              </w:rPr>
              <w:t>法定代表人身份证明</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身份证正反面</w:t>
            </w:r>
            <w:r>
              <w:rPr>
                <w:rFonts w:hint="eastAsia" w:ascii="仿宋" w:hAnsi="仿宋" w:eastAsia="仿宋" w:cs="仿宋"/>
                <w:color w:val="auto"/>
                <w:kern w:val="0"/>
                <w:sz w:val="24"/>
                <w:szCs w:val="24"/>
                <w:highlight w:val="none"/>
                <w:lang w:eastAsia="zh-CN"/>
              </w:rPr>
              <w:t>）</w:t>
            </w:r>
          </w:p>
        </w:tc>
        <w:tc>
          <w:tcPr>
            <w:tcW w:w="4518" w:type="dxa"/>
          </w:tcPr>
          <w:p>
            <w:pPr>
              <w:tabs>
                <w:tab w:val="left" w:pos="4200"/>
                <w:tab w:val="left" w:pos="4620"/>
              </w:tabs>
              <w:autoSpaceDE w:val="0"/>
              <w:autoSpaceDN w:val="0"/>
              <w:adjustRightInd w:val="0"/>
              <w:snapToGrid w:val="0"/>
              <w:spacing w:line="360" w:lineRule="auto"/>
              <w:jc w:val="left"/>
              <w:rPr>
                <w:rFonts w:hint="eastAsia" w:ascii="仿宋" w:hAnsi="仿宋" w:eastAsia="仿宋" w:cs="仿宋"/>
                <w:color w:val="auto"/>
                <w:kern w:val="0"/>
                <w:sz w:val="24"/>
                <w:szCs w:val="24"/>
                <w:highlight w:val="none"/>
                <w:vertAlign w:val="baseline"/>
              </w:rPr>
            </w:pPr>
            <w:r>
              <w:rPr>
                <w:rFonts w:hint="eastAsia" w:ascii="仿宋" w:hAnsi="仿宋" w:eastAsia="仿宋" w:cs="仿宋"/>
                <w:color w:val="auto"/>
                <w:kern w:val="0"/>
                <w:sz w:val="24"/>
                <w:szCs w:val="24"/>
                <w:highlight w:val="none"/>
              </w:rPr>
              <w:t>委托代理人身份证明</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身份证正反面</w:t>
            </w:r>
            <w:r>
              <w:rPr>
                <w:rFonts w:hint="eastAsia" w:ascii="仿宋" w:hAnsi="仿宋" w:eastAsia="仿宋" w:cs="仿宋"/>
                <w:color w:val="auto"/>
                <w:kern w:val="0"/>
                <w:sz w:val="24"/>
                <w:szCs w:val="24"/>
                <w:highlight w:val="none"/>
                <w:lang w:eastAsia="zh-CN"/>
              </w:rPr>
              <w:t>）</w:t>
            </w:r>
          </w:p>
        </w:tc>
      </w:tr>
    </w:tbl>
    <w:p>
      <w:pPr>
        <w:tabs>
          <w:tab w:val="left" w:pos="4200"/>
          <w:tab w:val="left" w:pos="4620"/>
        </w:tabs>
        <w:autoSpaceDE w:val="0"/>
        <w:autoSpaceDN w:val="0"/>
        <w:adjustRightInd w:val="0"/>
        <w:snapToGrid w:val="0"/>
        <w:spacing w:line="360" w:lineRule="auto"/>
        <w:jc w:val="left"/>
        <w:rPr>
          <w:rFonts w:hint="eastAsia" w:ascii="仿宋" w:hAnsi="仿宋" w:eastAsia="仿宋" w:cs="仿宋"/>
          <w:color w:val="auto"/>
          <w:kern w:val="0"/>
          <w:sz w:val="24"/>
          <w:szCs w:val="24"/>
          <w:highlight w:val="none"/>
        </w:rPr>
      </w:pPr>
    </w:p>
    <w:p>
      <w:pPr>
        <w:tabs>
          <w:tab w:val="left" w:pos="4200"/>
          <w:tab w:val="left" w:pos="4620"/>
        </w:tabs>
        <w:autoSpaceDE w:val="0"/>
        <w:autoSpaceDN w:val="0"/>
        <w:adjustRightInd w:val="0"/>
        <w:snapToGrid w:val="0"/>
        <w:spacing w:line="360" w:lineRule="auto"/>
        <w:ind w:firstLine="1694"/>
        <w:jc w:val="left"/>
        <w:rPr>
          <w:rFonts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eastAsia="zh-CN"/>
        </w:rPr>
        <w:t>参选人</w:t>
      </w:r>
      <w:r>
        <w:rPr>
          <w:rFonts w:hint="eastAsia" w:ascii="仿宋" w:hAnsi="仿宋" w:eastAsia="仿宋" w:cs="仿宋"/>
          <w:color w:val="auto"/>
          <w:kern w:val="0"/>
          <w:sz w:val="22"/>
          <w:szCs w:val="22"/>
          <w:highlight w:val="none"/>
        </w:rPr>
        <w:t>：（</w:t>
      </w:r>
      <w:r>
        <w:rPr>
          <w:rFonts w:hint="eastAsia" w:ascii="仿宋" w:hAnsi="仿宋" w:eastAsia="仿宋" w:cs="仿宋"/>
          <w:color w:val="auto"/>
          <w:spacing w:val="-1"/>
          <w:kern w:val="0"/>
          <w:sz w:val="22"/>
          <w:szCs w:val="22"/>
          <w:highlight w:val="none"/>
        </w:rPr>
        <w:t>盖</w:t>
      </w:r>
      <w:r>
        <w:rPr>
          <w:rFonts w:hint="eastAsia" w:ascii="仿宋" w:hAnsi="仿宋" w:eastAsia="仿宋" w:cs="仿宋"/>
          <w:color w:val="auto"/>
          <w:kern w:val="0"/>
          <w:sz w:val="22"/>
          <w:szCs w:val="22"/>
          <w:highlight w:val="none"/>
        </w:rPr>
        <w:t>单位公章）</w:t>
      </w:r>
    </w:p>
    <w:p>
      <w:pPr>
        <w:tabs>
          <w:tab w:val="left" w:pos="6300"/>
        </w:tabs>
        <w:autoSpaceDE w:val="0"/>
        <w:autoSpaceDN w:val="0"/>
        <w:adjustRightInd w:val="0"/>
        <w:snapToGrid w:val="0"/>
        <w:spacing w:line="360" w:lineRule="auto"/>
        <w:ind w:firstLine="1680"/>
        <w:jc w:val="left"/>
        <w:rPr>
          <w:rFonts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法定代表人：</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rPr>
        <w:t>（签字）</w:t>
      </w:r>
    </w:p>
    <w:p>
      <w:pPr>
        <w:tabs>
          <w:tab w:val="left" w:pos="5260"/>
        </w:tabs>
        <w:autoSpaceDE w:val="0"/>
        <w:autoSpaceDN w:val="0"/>
        <w:adjustRightInd w:val="0"/>
        <w:snapToGrid w:val="0"/>
        <w:spacing w:line="360" w:lineRule="auto"/>
        <w:ind w:firstLine="1680"/>
        <w:jc w:val="left"/>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rPr>
        <w:t>身份证号码：</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u w:val="single"/>
          <w:lang w:val="en-US" w:eastAsia="zh-CN"/>
        </w:rPr>
        <w:t xml:space="preserve"> </w:t>
      </w:r>
    </w:p>
    <w:p>
      <w:pPr>
        <w:tabs>
          <w:tab w:val="left" w:pos="6720"/>
        </w:tabs>
        <w:autoSpaceDE w:val="0"/>
        <w:autoSpaceDN w:val="0"/>
        <w:adjustRightInd w:val="0"/>
        <w:snapToGrid w:val="0"/>
        <w:spacing w:line="360" w:lineRule="auto"/>
        <w:ind w:firstLine="1680"/>
        <w:jc w:val="left"/>
        <w:rPr>
          <w:rFonts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委托代理人：</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rPr>
        <w:t>（签</w:t>
      </w:r>
      <w:r>
        <w:rPr>
          <w:rFonts w:hint="eastAsia" w:ascii="仿宋" w:hAnsi="仿宋" w:eastAsia="仿宋" w:cs="仿宋"/>
          <w:color w:val="auto"/>
          <w:spacing w:val="-1"/>
          <w:kern w:val="0"/>
          <w:sz w:val="22"/>
          <w:szCs w:val="22"/>
          <w:highlight w:val="none"/>
        </w:rPr>
        <w:t>字</w:t>
      </w:r>
      <w:r>
        <w:rPr>
          <w:rFonts w:hint="eastAsia" w:ascii="仿宋" w:hAnsi="仿宋" w:eastAsia="仿宋" w:cs="仿宋"/>
          <w:color w:val="auto"/>
          <w:kern w:val="0"/>
          <w:sz w:val="22"/>
          <w:szCs w:val="22"/>
          <w:highlight w:val="none"/>
        </w:rPr>
        <w:t>）</w:t>
      </w:r>
    </w:p>
    <w:p>
      <w:pPr>
        <w:tabs>
          <w:tab w:val="left" w:pos="6832"/>
        </w:tabs>
        <w:autoSpaceDE w:val="0"/>
        <w:autoSpaceDN w:val="0"/>
        <w:adjustRightInd w:val="0"/>
        <w:snapToGrid w:val="0"/>
        <w:spacing w:line="360" w:lineRule="auto"/>
        <w:ind w:firstLine="1680"/>
        <w:jc w:val="left"/>
        <w:rPr>
          <w:rFonts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身份证号码：</w:t>
      </w:r>
    </w:p>
    <w:p>
      <w:pPr>
        <w:tabs>
          <w:tab w:val="left" w:pos="4005"/>
          <w:tab w:val="left" w:pos="4100"/>
          <w:tab w:val="left" w:pos="5040"/>
        </w:tabs>
        <w:autoSpaceDE w:val="0"/>
        <w:autoSpaceDN w:val="0"/>
        <w:adjustRightInd w:val="0"/>
        <w:snapToGrid w:val="0"/>
        <w:spacing w:line="360" w:lineRule="auto"/>
        <w:ind w:firstLine="3780"/>
        <w:jc w:val="left"/>
        <w:rPr>
          <w:rFonts w:hint="eastAsia" w:ascii="仿宋" w:hAnsi="仿宋" w:eastAsia="仿宋" w:cs="仿宋"/>
          <w:color w:val="auto"/>
          <w:kern w:val="0"/>
          <w:sz w:val="22"/>
          <w:szCs w:val="22"/>
          <w:highlight w:val="none"/>
          <w:u w:val="single"/>
        </w:rPr>
      </w:pPr>
    </w:p>
    <w:p>
      <w:pPr>
        <w:tabs>
          <w:tab w:val="left" w:pos="4005"/>
          <w:tab w:val="left" w:pos="4100"/>
          <w:tab w:val="left" w:pos="5040"/>
        </w:tabs>
        <w:autoSpaceDE w:val="0"/>
        <w:autoSpaceDN w:val="0"/>
        <w:adjustRightInd w:val="0"/>
        <w:snapToGrid w:val="0"/>
        <w:spacing w:line="360" w:lineRule="auto"/>
        <w:ind w:firstLine="3780"/>
        <w:jc w:val="left"/>
        <w:rPr>
          <w:highlight w:val="none"/>
        </w:rPr>
      </w:pPr>
      <w:r>
        <w:rPr>
          <w:rFonts w:hint="eastAsia" w:ascii="仿宋" w:hAnsi="仿宋" w:eastAsia="仿宋" w:cs="仿宋"/>
          <w:color w:val="auto"/>
          <w:kern w:val="0"/>
          <w:sz w:val="22"/>
          <w:szCs w:val="22"/>
          <w:highlight w:val="none"/>
          <w:u w:val="single"/>
          <w:lang w:val="en-US" w:eastAsia="zh-CN"/>
        </w:rPr>
        <w:t xml:space="preserve"> 2021</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rPr>
        <w:t>年</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rPr>
        <w:t>月</w:t>
      </w:r>
      <w:r>
        <w:rPr>
          <w:rFonts w:hint="eastAsia" w:ascii="仿宋" w:hAnsi="仿宋" w:eastAsia="仿宋" w:cs="仿宋"/>
          <w:color w:val="auto"/>
          <w:kern w:val="0"/>
          <w:sz w:val="22"/>
          <w:szCs w:val="22"/>
          <w:highlight w:val="none"/>
          <w:u w:val="single"/>
        </w:rPr>
        <w:tab/>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rPr>
        <w:t>日</w:t>
      </w:r>
    </w:p>
    <w:sectPr>
      <w:footerReference r:id="rId6" w:type="default"/>
      <w:pgSz w:w="11906" w:h="16838"/>
      <w:pgMar w:top="1021" w:right="1466" w:bottom="623" w:left="162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mp;#23435;&amp;#20307;">
    <w:altName w:val="Times New Roman"/>
    <w:panose1 w:val="00000000000000000000"/>
    <w:charset w:val="00"/>
    <w:family w:val="roman"/>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宋体 ! important">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pPr>
    <w:r>
      <mc:AlternateContent>
        <mc:Choice Requires="wps">
          <w:drawing>
            <wp:anchor distT="0" distB="0" distL="114300" distR="114300" simplePos="0" relativeHeight="251659264" behindDoc="0" locked="0" layoutInCell="1" allowOverlap="1">
              <wp:simplePos x="0" y="0"/>
              <wp:positionH relativeFrom="margin">
                <wp:posOffset>2561590</wp:posOffset>
              </wp:positionH>
              <wp:positionV relativeFrom="paragraph">
                <wp:posOffset>-7620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hint="eastAsia" w:ascii="仿宋" w:hAnsi="仿宋" w:eastAsia="仿宋" w:cs="仿宋"/>
                              <w:sz w:val="18"/>
                            </w:rPr>
                          </w:pPr>
                          <w:r>
                            <w:rPr>
                              <w:rFonts w:hint="eastAsia" w:ascii="仿宋" w:hAnsi="仿宋" w:eastAsia="仿宋" w:cs="仿宋"/>
                              <w:sz w:val="18"/>
                            </w:rPr>
                            <w:t xml:space="preserve">第 </w:t>
                          </w:r>
                          <w:r>
                            <w:rPr>
                              <w:rFonts w:hint="eastAsia" w:ascii="仿宋" w:hAnsi="仿宋" w:eastAsia="仿宋" w:cs="仿宋"/>
                              <w:sz w:val="18"/>
                            </w:rPr>
                            <w:fldChar w:fldCharType="begin"/>
                          </w:r>
                          <w:r>
                            <w:rPr>
                              <w:rFonts w:hint="eastAsia" w:ascii="仿宋" w:hAnsi="仿宋" w:eastAsia="仿宋" w:cs="仿宋"/>
                              <w:sz w:val="18"/>
                            </w:rPr>
                            <w:instrText xml:space="preserve"> PAGE  \* MERGEFORMAT </w:instrText>
                          </w:r>
                          <w:r>
                            <w:rPr>
                              <w:rFonts w:hint="eastAsia" w:ascii="仿宋" w:hAnsi="仿宋" w:eastAsia="仿宋" w:cs="仿宋"/>
                              <w:sz w:val="18"/>
                            </w:rPr>
                            <w:fldChar w:fldCharType="separate"/>
                          </w:r>
                          <w:r>
                            <w:rPr>
                              <w:rFonts w:hint="eastAsia" w:ascii="仿宋" w:hAnsi="仿宋" w:eastAsia="仿宋" w:cs="仿宋"/>
                              <w:sz w:val="18"/>
                            </w:rPr>
                            <w:t>10</w:t>
                          </w:r>
                          <w:r>
                            <w:rPr>
                              <w:rFonts w:hint="eastAsia" w:ascii="仿宋" w:hAnsi="仿宋" w:eastAsia="仿宋" w:cs="仿宋"/>
                              <w:sz w:val="18"/>
                            </w:rPr>
                            <w:fldChar w:fldCharType="end"/>
                          </w:r>
                          <w:r>
                            <w:rPr>
                              <w:rFonts w:hint="eastAsia" w:ascii="仿宋" w:hAnsi="仿宋" w:eastAsia="仿宋" w:cs="仿宋"/>
                              <w:sz w:val="1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1.7pt;margin-top:-0.6pt;height:144pt;width:144pt;mso-position-horizontal-relative:margin;mso-wrap-style:none;z-index:251659264;mso-width-relative:page;mso-height-relative:page;" filled="f" stroked="f" coordsize="21600,21600" o:gfxdata="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MUB0szDAREp9&#10;6dEK7b4d+OxNcQZNZ/o58ZZvapSyZT48MIfBQPl4OuEeSykNUprBoqQy7su/zmM8+gUvJQ0GLaca&#10;74oS+V6jjwAMo+FGYz8a+qjuDCYXvUEtnYkLLsjRLJ1Rn/GeVjEHXExzZMppGM270A873iMXq1UX&#10;dLSuPlT9BUyhZWGrd5bHNFEqb1fHAGk7xaNAvSroVNxgDrueDW8mDvqf+y7q8T+x/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SfIP21wAAAAoBAAAPAAAAAAAAAAEAIAAAACIAAABkcnMvZG93bnJl&#10;di54bWxQSwECFAAUAAAACACHTuJAvXQbdjcCAABvBAAADgAAAAAAAAABACAAAAAmAQAAZHJzL2Uy&#10;b0RvYy54bWxQSwUGAAAAAAYABgBZAQAAzwUAAAAA&#10;">
              <v:fill on="f" focussize="0,0"/>
              <v:stroke on="f" weight="0.5pt"/>
              <v:imagedata o:title=""/>
              <o:lock v:ext="edit" aspectratio="f"/>
              <v:textbox inset="0mm,0mm,0mm,0mm" style="mso-fit-shape-to-text:t;">
                <w:txbxContent>
                  <w:p>
                    <w:pPr>
                      <w:snapToGrid w:val="0"/>
                      <w:rPr>
                        <w:rFonts w:hint="eastAsia" w:ascii="仿宋" w:hAnsi="仿宋" w:eastAsia="仿宋" w:cs="仿宋"/>
                        <w:sz w:val="18"/>
                      </w:rPr>
                    </w:pPr>
                    <w:r>
                      <w:rPr>
                        <w:rFonts w:hint="eastAsia" w:ascii="仿宋" w:hAnsi="仿宋" w:eastAsia="仿宋" w:cs="仿宋"/>
                        <w:sz w:val="18"/>
                      </w:rPr>
                      <w:t xml:space="preserve">第 </w:t>
                    </w:r>
                    <w:r>
                      <w:rPr>
                        <w:rFonts w:hint="eastAsia" w:ascii="仿宋" w:hAnsi="仿宋" w:eastAsia="仿宋" w:cs="仿宋"/>
                        <w:sz w:val="18"/>
                      </w:rPr>
                      <w:fldChar w:fldCharType="begin"/>
                    </w:r>
                    <w:r>
                      <w:rPr>
                        <w:rFonts w:hint="eastAsia" w:ascii="仿宋" w:hAnsi="仿宋" w:eastAsia="仿宋" w:cs="仿宋"/>
                        <w:sz w:val="18"/>
                      </w:rPr>
                      <w:instrText xml:space="preserve"> PAGE  \* MERGEFORMAT </w:instrText>
                    </w:r>
                    <w:r>
                      <w:rPr>
                        <w:rFonts w:hint="eastAsia" w:ascii="仿宋" w:hAnsi="仿宋" w:eastAsia="仿宋" w:cs="仿宋"/>
                        <w:sz w:val="18"/>
                      </w:rPr>
                      <w:fldChar w:fldCharType="separate"/>
                    </w:r>
                    <w:r>
                      <w:rPr>
                        <w:rFonts w:hint="eastAsia" w:ascii="仿宋" w:hAnsi="仿宋" w:eastAsia="仿宋" w:cs="仿宋"/>
                        <w:sz w:val="18"/>
                      </w:rPr>
                      <w:t>10</w:t>
                    </w:r>
                    <w:r>
                      <w:rPr>
                        <w:rFonts w:hint="eastAsia" w:ascii="仿宋" w:hAnsi="仿宋" w:eastAsia="仿宋" w:cs="仿宋"/>
                        <w:sz w:val="18"/>
                      </w:rPr>
                      <w:fldChar w:fldCharType="end"/>
                    </w:r>
                    <w:r>
                      <w:rPr>
                        <w:rFonts w:hint="eastAsia" w:ascii="仿宋" w:hAnsi="仿宋" w:eastAsia="仿宋" w:cs="仿宋"/>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hint="default" w:ascii="仿宋" w:hAnsi="仿宋" w:eastAsia="仿宋" w:cs="仿宋"/>
        <w:sz w:val="20"/>
        <w:szCs w:val="22"/>
        <w:lang w:val="en-US"/>
      </w:rPr>
    </w:pPr>
    <w:r>
      <w:rPr>
        <w:rFonts w:hint="eastAsia" w:ascii="仿宋" w:hAnsi="仿宋" w:eastAsia="仿宋" w:cs="仿宋"/>
      </w:rPr>
      <w:t xml:space="preserve">重庆机电控股集团机电工程技术有限公司 </w:t>
    </w:r>
    <w:r>
      <w:rPr>
        <w:rFonts w:hint="eastAsia" w:ascii="仿宋" w:hAnsi="仿宋" w:eastAsia="仿宋" w:cs="仿宋"/>
        <w:lang w:val="en-US" w:eastAsia="zh-CN"/>
      </w:rPr>
      <w:t xml:space="preserve">           </w:t>
    </w:r>
    <w:r>
      <w:rPr>
        <w:rFonts w:hint="eastAsia" w:ascii="仿宋" w:hAnsi="仿宋" w:eastAsia="仿宋" w:cs="仿宋"/>
      </w:rPr>
      <w:t xml:space="preserve"> </w:t>
    </w:r>
    <w:r>
      <w:rPr>
        <w:rFonts w:hint="eastAsia" w:ascii="仿宋" w:hAnsi="仿宋" w:eastAsia="仿宋" w:cs="仿宋"/>
        <w:lang w:val="en-US" w:eastAsia="zh-CN"/>
      </w:rPr>
      <w:t>9</w:t>
    </w:r>
    <w:r>
      <w:rPr>
        <w:rFonts w:hint="eastAsia" w:ascii="仿宋" w:hAnsi="仿宋" w:eastAsia="仿宋" w:cs="仿宋"/>
      </w:rPr>
      <w:t>二</w:t>
    </w:r>
    <w:r>
      <w:rPr>
        <w:rFonts w:hint="eastAsia" w:ascii="仿宋" w:hAnsi="仿宋" w:eastAsia="仿宋" w:cs="仿宋"/>
        <w:lang w:val="en-US" w:eastAsia="zh-CN"/>
      </w:rPr>
      <w:t>期</w:t>
    </w:r>
    <w:r>
      <w:rPr>
        <w:rFonts w:hint="eastAsia" w:ascii="仿宋" w:hAnsi="仿宋" w:eastAsia="仿宋" w:cs="仿宋"/>
      </w:rPr>
      <w:t>-风水电-比选-20</w:t>
    </w:r>
    <w:r>
      <w:rPr>
        <w:rFonts w:hint="eastAsia" w:ascii="仿宋" w:hAnsi="仿宋" w:eastAsia="仿宋" w:cs="仿宋"/>
        <w:lang w:val="en-US" w:eastAsia="zh-CN"/>
      </w:rPr>
      <w:t>21</w:t>
    </w:r>
    <w:r>
      <w:rPr>
        <w:rFonts w:hint="eastAsia" w:ascii="仿宋" w:hAnsi="仿宋" w:eastAsia="仿宋" w:cs="仿宋"/>
      </w:rPr>
      <w:t>-0</w:t>
    </w:r>
    <w:r>
      <w:rPr>
        <w:rFonts w:hint="eastAsia" w:ascii="仿宋" w:hAnsi="仿宋" w:eastAsia="仿宋" w:cs="仿宋"/>
        <w:lang w:val="en-US" w:eastAsia="zh-CN"/>
      </w:rPr>
      <w:t>4</w:t>
    </w:r>
    <w:r>
      <w:rPr>
        <w:rFonts w:hint="eastAsia" w:ascii="仿宋" w:hAnsi="仿宋" w:eastAsia="仿宋" w:cs="仿宋"/>
      </w:rPr>
      <w:t>-</w:t>
    </w:r>
    <w:r>
      <w:rPr>
        <w:rFonts w:hint="eastAsia" w:ascii="仿宋" w:hAnsi="仿宋" w:eastAsia="仿宋" w:cs="仿宋"/>
        <w:lang w:val="en-US" w:eastAsia="zh-CN"/>
      </w:rPr>
      <w:t>区间箱</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D8F09B"/>
    <w:multiLevelType w:val="singleLevel"/>
    <w:tmpl w:val="D2D8F09B"/>
    <w:lvl w:ilvl="0" w:tentative="0">
      <w:start w:val="2"/>
      <w:numFmt w:val="chineseCounting"/>
      <w:suff w:val="space"/>
      <w:lvlText w:val="第%1部分"/>
      <w:lvlJc w:val="left"/>
      <w:rPr>
        <w:rFonts w:hint="eastAsia"/>
      </w:rPr>
    </w:lvl>
  </w:abstractNum>
  <w:abstractNum w:abstractNumId="1">
    <w:nsid w:val="F061351E"/>
    <w:multiLevelType w:val="singleLevel"/>
    <w:tmpl w:val="F061351E"/>
    <w:lvl w:ilvl="0" w:tentative="0">
      <w:start w:val="5"/>
      <w:numFmt w:val="chineseCounting"/>
      <w:suff w:val="space"/>
      <w:lvlText w:val="第%1部分"/>
      <w:lvlJc w:val="left"/>
      <w:rPr>
        <w:rFonts w:hint="eastAsia"/>
      </w:rPr>
    </w:lvl>
  </w:abstractNum>
  <w:abstractNum w:abstractNumId="2">
    <w:nsid w:val="00000015"/>
    <w:multiLevelType w:val="multilevel"/>
    <w:tmpl w:val="0000001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11"/>
      <w:suff w:val="nothing"/>
      <w:lvlText w:val="%1%2　"/>
      <w:lvlJc w:val="left"/>
      <w:pPr>
        <w:ind w:left="105" w:firstLine="0"/>
      </w:pPr>
      <w:rPr>
        <w:rFonts w:hint="eastAsia" w:ascii="黑体" w:hAnsi="Times New Roman" w:eastAsia="黑体"/>
        <w:b/>
        <w:i w:val="0"/>
        <w:sz w:val="21"/>
      </w:rPr>
    </w:lvl>
    <w:lvl w:ilvl="2" w:tentative="0">
      <w:start w:val="1"/>
      <w:numFmt w:val="decimal"/>
      <w:pStyle w:val="110"/>
      <w:suff w:val="nothing"/>
      <w:lvlText w:val="%1%2.%3　"/>
      <w:lvlJc w:val="left"/>
      <w:pPr>
        <w:ind w:left="0" w:firstLine="0"/>
      </w:pPr>
      <w:rPr>
        <w:rFonts w:hint="eastAsia" w:ascii="黑体" w:hAnsi="Times New Roman" w:eastAsia="黑体"/>
        <w:b w:val="0"/>
        <w:i w:val="0"/>
        <w:sz w:val="21"/>
      </w:rPr>
    </w:lvl>
    <w:lvl w:ilvl="3" w:tentative="0">
      <w:start w:val="1"/>
      <w:numFmt w:val="decimal"/>
      <w:pStyle w:val="10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4F588BC5"/>
    <w:multiLevelType w:val="singleLevel"/>
    <w:tmpl w:val="4F588BC5"/>
    <w:lvl w:ilvl="0" w:tentative="0">
      <w:start w:val="5"/>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FAF"/>
    <w:rsid w:val="00002ED5"/>
    <w:rsid w:val="000143E9"/>
    <w:rsid w:val="00014E0E"/>
    <w:rsid w:val="00020357"/>
    <w:rsid w:val="00022251"/>
    <w:rsid w:val="000226FE"/>
    <w:rsid w:val="00023157"/>
    <w:rsid w:val="00024A1C"/>
    <w:rsid w:val="00033519"/>
    <w:rsid w:val="0003465F"/>
    <w:rsid w:val="000419CB"/>
    <w:rsid w:val="00047D8B"/>
    <w:rsid w:val="00051667"/>
    <w:rsid w:val="00051C84"/>
    <w:rsid w:val="00055B3F"/>
    <w:rsid w:val="00063604"/>
    <w:rsid w:val="00066E44"/>
    <w:rsid w:val="00070470"/>
    <w:rsid w:val="00086AD6"/>
    <w:rsid w:val="000918B7"/>
    <w:rsid w:val="00093F16"/>
    <w:rsid w:val="000955E3"/>
    <w:rsid w:val="00096F9A"/>
    <w:rsid w:val="000A03F1"/>
    <w:rsid w:val="000A1940"/>
    <w:rsid w:val="000A7CF4"/>
    <w:rsid w:val="000B44AC"/>
    <w:rsid w:val="000B501E"/>
    <w:rsid w:val="000B50FE"/>
    <w:rsid w:val="000B58F4"/>
    <w:rsid w:val="000B59AF"/>
    <w:rsid w:val="000C021E"/>
    <w:rsid w:val="000C2782"/>
    <w:rsid w:val="000C5847"/>
    <w:rsid w:val="000C7F25"/>
    <w:rsid w:val="000D1B80"/>
    <w:rsid w:val="000D43D2"/>
    <w:rsid w:val="000D7BF2"/>
    <w:rsid w:val="000E3F1A"/>
    <w:rsid w:val="000E7C9A"/>
    <w:rsid w:val="00100244"/>
    <w:rsid w:val="001009B8"/>
    <w:rsid w:val="00101969"/>
    <w:rsid w:val="0011023F"/>
    <w:rsid w:val="00112507"/>
    <w:rsid w:val="0011576B"/>
    <w:rsid w:val="00116696"/>
    <w:rsid w:val="00121D4B"/>
    <w:rsid w:val="00123137"/>
    <w:rsid w:val="00124FFC"/>
    <w:rsid w:val="00125891"/>
    <w:rsid w:val="00133F8C"/>
    <w:rsid w:val="00134346"/>
    <w:rsid w:val="00135D02"/>
    <w:rsid w:val="00135F51"/>
    <w:rsid w:val="00141F6D"/>
    <w:rsid w:val="00146972"/>
    <w:rsid w:val="00147D65"/>
    <w:rsid w:val="00147F6A"/>
    <w:rsid w:val="0015242B"/>
    <w:rsid w:val="0015302A"/>
    <w:rsid w:val="00154109"/>
    <w:rsid w:val="00163870"/>
    <w:rsid w:val="00165264"/>
    <w:rsid w:val="00166867"/>
    <w:rsid w:val="00167C69"/>
    <w:rsid w:val="0017056B"/>
    <w:rsid w:val="00171CBA"/>
    <w:rsid w:val="001776F6"/>
    <w:rsid w:val="00183478"/>
    <w:rsid w:val="00183EAE"/>
    <w:rsid w:val="00183FB8"/>
    <w:rsid w:val="0018493E"/>
    <w:rsid w:val="00185534"/>
    <w:rsid w:val="001861DA"/>
    <w:rsid w:val="00186C2C"/>
    <w:rsid w:val="00190261"/>
    <w:rsid w:val="001930EC"/>
    <w:rsid w:val="00194D30"/>
    <w:rsid w:val="00195C6F"/>
    <w:rsid w:val="001A6FA5"/>
    <w:rsid w:val="001A75A0"/>
    <w:rsid w:val="001A7986"/>
    <w:rsid w:val="001A79ED"/>
    <w:rsid w:val="001C0AC4"/>
    <w:rsid w:val="001C56A2"/>
    <w:rsid w:val="001C66A1"/>
    <w:rsid w:val="001D425B"/>
    <w:rsid w:val="001E1797"/>
    <w:rsid w:val="001E2B64"/>
    <w:rsid w:val="001F29A7"/>
    <w:rsid w:val="001F2BC7"/>
    <w:rsid w:val="001F4598"/>
    <w:rsid w:val="00203D07"/>
    <w:rsid w:val="00207C93"/>
    <w:rsid w:val="00210796"/>
    <w:rsid w:val="00211088"/>
    <w:rsid w:val="002113AC"/>
    <w:rsid w:val="00212171"/>
    <w:rsid w:val="00213E1E"/>
    <w:rsid w:val="00221D29"/>
    <w:rsid w:val="00222EF3"/>
    <w:rsid w:val="00224169"/>
    <w:rsid w:val="00225BDF"/>
    <w:rsid w:val="002334EE"/>
    <w:rsid w:val="00237FA9"/>
    <w:rsid w:val="00244AAA"/>
    <w:rsid w:val="0024769C"/>
    <w:rsid w:val="002479CB"/>
    <w:rsid w:val="002505C4"/>
    <w:rsid w:val="002522E5"/>
    <w:rsid w:val="00267014"/>
    <w:rsid w:val="002712C0"/>
    <w:rsid w:val="00280BCB"/>
    <w:rsid w:val="00280EA4"/>
    <w:rsid w:val="00281E15"/>
    <w:rsid w:val="00294C8D"/>
    <w:rsid w:val="00294FA1"/>
    <w:rsid w:val="00295353"/>
    <w:rsid w:val="002963BB"/>
    <w:rsid w:val="00296D10"/>
    <w:rsid w:val="002A3311"/>
    <w:rsid w:val="002A4BA3"/>
    <w:rsid w:val="002B0183"/>
    <w:rsid w:val="002B20DC"/>
    <w:rsid w:val="002B3DD5"/>
    <w:rsid w:val="002B643C"/>
    <w:rsid w:val="002B7EB5"/>
    <w:rsid w:val="002C3177"/>
    <w:rsid w:val="002D05B3"/>
    <w:rsid w:val="002D20C1"/>
    <w:rsid w:val="002D3081"/>
    <w:rsid w:val="002D39FE"/>
    <w:rsid w:val="002E0E29"/>
    <w:rsid w:val="002E1BF9"/>
    <w:rsid w:val="002E3720"/>
    <w:rsid w:val="002E3CBA"/>
    <w:rsid w:val="002E4CCE"/>
    <w:rsid w:val="002E66EE"/>
    <w:rsid w:val="002F0BAA"/>
    <w:rsid w:val="002F2099"/>
    <w:rsid w:val="003026D7"/>
    <w:rsid w:val="00307337"/>
    <w:rsid w:val="00314A1B"/>
    <w:rsid w:val="00316A04"/>
    <w:rsid w:val="00320F3D"/>
    <w:rsid w:val="00321A1B"/>
    <w:rsid w:val="00327485"/>
    <w:rsid w:val="00333271"/>
    <w:rsid w:val="00340435"/>
    <w:rsid w:val="0034152E"/>
    <w:rsid w:val="00344067"/>
    <w:rsid w:val="0035013A"/>
    <w:rsid w:val="003568FD"/>
    <w:rsid w:val="00362396"/>
    <w:rsid w:val="003635C5"/>
    <w:rsid w:val="00365462"/>
    <w:rsid w:val="00381263"/>
    <w:rsid w:val="003853DF"/>
    <w:rsid w:val="0038577C"/>
    <w:rsid w:val="00385896"/>
    <w:rsid w:val="00386C19"/>
    <w:rsid w:val="003870C3"/>
    <w:rsid w:val="003872FC"/>
    <w:rsid w:val="00390A17"/>
    <w:rsid w:val="0039229B"/>
    <w:rsid w:val="003952D4"/>
    <w:rsid w:val="003A0531"/>
    <w:rsid w:val="003A3034"/>
    <w:rsid w:val="003B1576"/>
    <w:rsid w:val="003B6079"/>
    <w:rsid w:val="003C6199"/>
    <w:rsid w:val="003D5B0F"/>
    <w:rsid w:val="003D7DD1"/>
    <w:rsid w:val="003E5EC0"/>
    <w:rsid w:val="003F123C"/>
    <w:rsid w:val="003F161B"/>
    <w:rsid w:val="003F1825"/>
    <w:rsid w:val="003F2580"/>
    <w:rsid w:val="003F2C8F"/>
    <w:rsid w:val="003F2D65"/>
    <w:rsid w:val="003F2FD9"/>
    <w:rsid w:val="00403E69"/>
    <w:rsid w:val="00422B0F"/>
    <w:rsid w:val="00426AA9"/>
    <w:rsid w:val="00426D94"/>
    <w:rsid w:val="00433D12"/>
    <w:rsid w:val="00436FAF"/>
    <w:rsid w:val="00437BDB"/>
    <w:rsid w:val="0045033A"/>
    <w:rsid w:val="0045477F"/>
    <w:rsid w:val="004557A3"/>
    <w:rsid w:val="00460247"/>
    <w:rsid w:val="00460F3D"/>
    <w:rsid w:val="00466C0D"/>
    <w:rsid w:val="004718FC"/>
    <w:rsid w:val="00474990"/>
    <w:rsid w:val="00474E16"/>
    <w:rsid w:val="0048337B"/>
    <w:rsid w:val="0049487D"/>
    <w:rsid w:val="00495D48"/>
    <w:rsid w:val="004962E5"/>
    <w:rsid w:val="004A5DC6"/>
    <w:rsid w:val="004B54A9"/>
    <w:rsid w:val="004C514B"/>
    <w:rsid w:val="004D60A0"/>
    <w:rsid w:val="004D6972"/>
    <w:rsid w:val="004D70DB"/>
    <w:rsid w:val="004E65C0"/>
    <w:rsid w:val="004E7302"/>
    <w:rsid w:val="004F1C22"/>
    <w:rsid w:val="004F5D8D"/>
    <w:rsid w:val="004F630B"/>
    <w:rsid w:val="0050681D"/>
    <w:rsid w:val="0051024C"/>
    <w:rsid w:val="00510988"/>
    <w:rsid w:val="00523D05"/>
    <w:rsid w:val="0053206E"/>
    <w:rsid w:val="00540CE3"/>
    <w:rsid w:val="00546183"/>
    <w:rsid w:val="00551328"/>
    <w:rsid w:val="0055375D"/>
    <w:rsid w:val="0055452D"/>
    <w:rsid w:val="00573E62"/>
    <w:rsid w:val="00582FE3"/>
    <w:rsid w:val="0058503E"/>
    <w:rsid w:val="005869D5"/>
    <w:rsid w:val="0059018C"/>
    <w:rsid w:val="00593AA9"/>
    <w:rsid w:val="005969A4"/>
    <w:rsid w:val="005A489B"/>
    <w:rsid w:val="005A58EC"/>
    <w:rsid w:val="005B0F25"/>
    <w:rsid w:val="005D158F"/>
    <w:rsid w:val="005D26FE"/>
    <w:rsid w:val="005D4515"/>
    <w:rsid w:val="005E1733"/>
    <w:rsid w:val="005E7CF4"/>
    <w:rsid w:val="0060081C"/>
    <w:rsid w:val="00613777"/>
    <w:rsid w:val="00617214"/>
    <w:rsid w:val="00617492"/>
    <w:rsid w:val="00621A62"/>
    <w:rsid w:val="006327BF"/>
    <w:rsid w:val="00634C72"/>
    <w:rsid w:val="00640C15"/>
    <w:rsid w:val="00641543"/>
    <w:rsid w:val="00644B5B"/>
    <w:rsid w:val="00653641"/>
    <w:rsid w:val="0065534D"/>
    <w:rsid w:val="006656A8"/>
    <w:rsid w:val="00665CE6"/>
    <w:rsid w:val="00667017"/>
    <w:rsid w:val="00675976"/>
    <w:rsid w:val="00677D3F"/>
    <w:rsid w:val="0068323D"/>
    <w:rsid w:val="00683544"/>
    <w:rsid w:val="006879DB"/>
    <w:rsid w:val="00693573"/>
    <w:rsid w:val="00696A11"/>
    <w:rsid w:val="00696BA5"/>
    <w:rsid w:val="006A3D17"/>
    <w:rsid w:val="006A6570"/>
    <w:rsid w:val="006A71DC"/>
    <w:rsid w:val="006B7884"/>
    <w:rsid w:val="006B7BAD"/>
    <w:rsid w:val="006C22B7"/>
    <w:rsid w:val="006C28C6"/>
    <w:rsid w:val="006C62B6"/>
    <w:rsid w:val="006C7EF7"/>
    <w:rsid w:val="006D3198"/>
    <w:rsid w:val="006D3862"/>
    <w:rsid w:val="006F0091"/>
    <w:rsid w:val="006F0837"/>
    <w:rsid w:val="006F60D4"/>
    <w:rsid w:val="007028D8"/>
    <w:rsid w:val="00704622"/>
    <w:rsid w:val="007056DB"/>
    <w:rsid w:val="00706518"/>
    <w:rsid w:val="00711632"/>
    <w:rsid w:val="007178BC"/>
    <w:rsid w:val="00717C97"/>
    <w:rsid w:val="00720255"/>
    <w:rsid w:val="0072183A"/>
    <w:rsid w:val="00735998"/>
    <w:rsid w:val="00735B56"/>
    <w:rsid w:val="00737901"/>
    <w:rsid w:val="00737ED7"/>
    <w:rsid w:val="0074281F"/>
    <w:rsid w:val="00764454"/>
    <w:rsid w:val="00764ADF"/>
    <w:rsid w:val="007716D2"/>
    <w:rsid w:val="007733C5"/>
    <w:rsid w:val="00775578"/>
    <w:rsid w:val="00776FE2"/>
    <w:rsid w:val="00777890"/>
    <w:rsid w:val="007851B1"/>
    <w:rsid w:val="007867F3"/>
    <w:rsid w:val="007878CC"/>
    <w:rsid w:val="00790D33"/>
    <w:rsid w:val="00792272"/>
    <w:rsid w:val="007928BB"/>
    <w:rsid w:val="00792CDC"/>
    <w:rsid w:val="007A2D02"/>
    <w:rsid w:val="007A40F5"/>
    <w:rsid w:val="007A438B"/>
    <w:rsid w:val="007A7E8A"/>
    <w:rsid w:val="007B3692"/>
    <w:rsid w:val="007B75BE"/>
    <w:rsid w:val="007C67EE"/>
    <w:rsid w:val="007D018F"/>
    <w:rsid w:val="007D1030"/>
    <w:rsid w:val="007D4651"/>
    <w:rsid w:val="007D5E93"/>
    <w:rsid w:val="007D6DB1"/>
    <w:rsid w:val="007E0DAB"/>
    <w:rsid w:val="00800686"/>
    <w:rsid w:val="00801030"/>
    <w:rsid w:val="00801928"/>
    <w:rsid w:val="008156A4"/>
    <w:rsid w:val="00816441"/>
    <w:rsid w:val="0082324B"/>
    <w:rsid w:val="00823257"/>
    <w:rsid w:val="0082330E"/>
    <w:rsid w:val="008267A1"/>
    <w:rsid w:val="008325FF"/>
    <w:rsid w:val="00833F67"/>
    <w:rsid w:val="00841163"/>
    <w:rsid w:val="008458D4"/>
    <w:rsid w:val="00846BCD"/>
    <w:rsid w:val="00847666"/>
    <w:rsid w:val="00847676"/>
    <w:rsid w:val="008520B9"/>
    <w:rsid w:val="008565BD"/>
    <w:rsid w:val="00864092"/>
    <w:rsid w:val="00864335"/>
    <w:rsid w:val="00867B6F"/>
    <w:rsid w:val="00873B68"/>
    <w:rsid w:val="00873FC2"/>
    <w:rsid w:val="00881076"/>
    <w:rsid w:val="008A6F4B"/>
    <w:rsid w:val="008A7B03"/>
    <w:rsid w:val="008B27F5"/>
    <w:rsid w:val="008B4E02"/>
    <w:rsid w:val="008C0D08"/>
    <w:rsid w:val="008C7B13"/>
    <w:rsid w:val="008C7FDF"/>
    <w:rsid w:val="008D1CD1"/>
    <w:rsid w:val="008D5E27"/>
    <w:rsid w:val="008D6C07"/>
    <w:rsid w:val="008D6E9D"/>
    <w:rsid w:val="008D6FE5"/>
    <w:rsid w:val="008D7819"/>
    <w:rsid w:val="008E1EA3"/>
    <w:rsid w:val="008E2737"/>
    <w:rsid w:val="0090590C"/>
    <w:rsid w:val="00915F5E"/>
    <w:rsid w:val="009260F0"/>
    <w:rsid w:val="00933A2A"/>
    <w:rsid w:val="00945742"/>
    <w:rsid w:val="00946078"/>
    <w:rsid w:val="00955ED9"/>
    <w:rsid w:val="009661B2"/>
    <w:rsid w:val="00970003"/>
    <w:rsid w:val="0097092E"/>
    <w:rsid w:val="00972220"/>
    <w:rsid w:val="00986686"/>
    <w:rsid w:val="009A1590"/>
    <w:rsid w:val="009A1780"/>
    <w:rsid w:val="009A62F6"/>
    <w:rsid w:val="009B2261"/>
    <w:rsid w:val="009B2927"/>
    <w:rsid w:val="009B3013"/>
    <w:rsid w:val="009B3D58"/>
    <w:rsid w:val="009C5885"/>
    <w:rsid w:val="009C5B30"/>
    <w:rsid w:val="009C65FF"/>
    <w:rsid w:val="009E0A02"/>
    <w:rsid w:val="009E5B99"/>
    <w:rsid w:val="009F6E8F"/>
    <w:rsid w:val="009F7AC5"/>
    <w:rsid w:val="00A01786"/>
    <w:rsid w:val="00A06C28"/>
    <w:rsid w:val="00A1320E"/>
    <w:rsid w:val="00A17AA5"/>
    <w:rsid w:val="00A20352"/>
    <w:rsid w:val="00A24D3E"/>
    <w:rsid w:val="00A30652"/>
    <w:rsid w:val="00A31464"/>
    <w:rsid w:val="00A35278"/>
    <w:rsid w:val="00A36E93"/>
    <w:rsid w:val="00A36F12"/>
    <w:rsid w:val="00A37891"/>
    <w:rsid w:val="00A4126B"/>
    <w:rsid w:val="00A46A87"/>
    <w:rsid w:val="00A50824"/>
    <w:rsid w:val="00A528A7"/>
    <w:rsid w:val="00A54C7B"/>
    <w:rsid w:val="00A713CA"/>
    <w:rsid w:val="00A763DA"/>
    <w:rsid w:val="00A82C59"/>
    <w:rsid w:val="00A82EA1"/>
    <w:rsid w:val="00A85C52"/>
    <w:rsid w:val="00A87EDD"/>
    <w:rsid w:val="00A9021B"/>
    <w:rsid w:val="00A9552B"/>
    <w:rsid w:val="00AA03D3"/>
    <w:rsid w:val="00AA216E"/>
    <w:rsid w:val="00AA3593"/>
    <w:rsid w:val="00AA6F92"/>
    <w:rsid w:val="00AB1B81"/>
    <w:rsid w:val="00AB45AD"/>
    <w:rsid w:val="00AC4263"/>
    <w:rsid w:val="00AD528A"/>
    <w:rsid w:val="00AD759F"/>
    <w:rsid w:val="00AE0D0E"/>
    <w:rsid w:val="00AF0338"/>
    <w:rsid w:val="00AF1684"/>
    <w:rsid w:val="00AF66D9"/>
    <w:rsid w:val="00B01E0E"/>
    <w:rsid w:val="00B0280C"/>
    <w:rsid w:val="00B04652"/>
    <w:rsid w:val="00B146DB"/>
    <w:rsid w:val="00B14B0E"/>
    <w:rsid w:val="00B22C67"/>
    <w:rsid w:val="00B31091"/>
    <w:rsid w:val="00B32753"/>
    <w:rsid w:val="00B37E74"/>
    <w:rsid w:val="00B40492"/>
    <w:rsid w:val="00B414B3"/>
    <w:rsid w:val="00B43FC2"/>
    <w:rsid w:val="00B50515"/>
    <w:rsid w:val="00B51DEA"/>
    <w:rsid w:val="00B621F4"/>
    <w:rsid w:val="00B64A86"/>
    <w:rsid w:val="00B70180"/>
    <w:rsid w:val="00B806E5"/>
    <w:rsid w:val="00B81174"/>
    <w:rsid w:val="00B87820"/>
    <w:rsid w:val="00B92304"/>
    <w:rsid w:val="00B93ACF"/>
    <w:rsid w:val="00BB3040"/>
    <w:rsid w:val="00BC18CB"/>
    <w:rsid w:val="00BC1F3D"/>
    <w:rsid w:val="00BD35F8"/>
    <w:rsid w:val="00BD61E0"/>
    <w:rsid w:val="00BD639F"/>
    <w:rsid w:val="00BD6C41"/>
    <w:rsid w:val="00BD7E89"/>
    <w:rsid w:val="00BE5FA7"/>
    <w:rsid w:val="00BF34F4"/>
    <w:rsid w:val="00BF6A93"/>
    <w:rsid w:val="00BF7F29"/>
    <w:rsid w:val="00C039F5"/>
    <w:rsid w:val="00C0789E"/>
    <w:rsid w:val="00C100C8"/>
    <w:rsid w:val="00C17F40"/>
    <w:rsid w:val="00C4139A"/>
    <w:rsid w:val="00C446BB"/>
    <w:rsid w:val="00C45FB9"/>
    <w:rsid w:val="00C46FEC"/>
    <w:rsid w:val="00C55CC6"/>
    <w:rsid w:val="00C63477"/>
    <w:rsid w:val="00C63D10"/>
    <w:rsid w:val="00C67A8F"/>
    <w:rsid w:val="00C7033F"/>
    <w:rsid w:val="00C7169C"/>
    <w:rsid w:val="00C72CB3"/>
    <w:rsid w:val="00C85B0E"/>
    <w:rsid w:val="00C867B2"/>
    <w:rsid w:val="00C92847"/>
    <w:rsid w:val="00C95599"/>
    <w:rsid w:val="00C95E9C"/>
    <w:rsid w:val="00C97330"/>
    <w:rsid w:val="00CA2AB5"/>
    <w:rsid w:val="00CA5563"/>
    <w:rsid w:val="00CC05FD"/>
    <w:rsid w:val="00CC1E51"/>
    <w:rsid w:val="00CC461F"/>
    <w:rsid w:val="00CC492F"/>
    <w:rsid w:val="00CC511E"/>
    <w:rsid w:val="00CD22D6"/>
    <w:rsid w:val="00CD5CCC"/>
    <w:rsid w:val="00CE752C"/>
    <w:rsid w:val="00D124A0"/>
    <w:rsid w:val="00D16EB3"/>
    <w:rsid w:val="00D331F4"/>
    <w:rsid w:val="00D376DC"/>
    <w:rsid w:val="00D47005"/>
    <w:rsid w:val="00D47719"/>
    <w:rsid w:val="00D50EF1"/>
    <w:rsid w:val="00D51615"/>
    <w:rsid w:val="00D60AFD"/>
    <w:rsid w:val="00D64742"/>
    <w:rsid w:val="00D7177B"/>
    <w:rsid w:val="00D73B7D"/>
    <w:rsid w:val="00D73E17"/>
    <w:rsid w:val="00D77624"/>
    <w:rsid w:val="00D8054E"/>
    <w:rsid w:val="00D846A1"/>
    <w:rsid w:val="00D92417"/>
    <w:rsid w:val="00D92750"/>
    <w:rsid w:val="00D958E2"/>
    <w:rsid w:val="00DA142A"/>
    <w:rsid w:val="00DA447F"/>
    <w:rsid w:val="00DB7AF7"/>
    <w:rsid w:val="00DC1BE6"/>
    <w:rsid w:val="00DC7D81"/>
    <w:rsid w:val="00DD4D08"/>
    <w:rsid w:val="00DD7CBD"/>
    <w:rsid w:val="00DD7F66"/>
    <w:rsid w:val="00DF0A0F"/>
    <w:rsid w:val="00DF5055"/>
    <w:rsid w:val="00E1307B"/>
    <w:rsid w:val="00E14563"/>
    <w:rsid w:val="00E20E55"/>
    <w:rsid w:val="00E21304"/>
    <w:rsid w:val="00E24958"/>
    <w:rsid w:val="00E26953"/>
    <w:rsid w:val="00E30A7E"/>
    <w:rsid w:val="00E317F3"/>
    <w:rsid w:val="00E322B1"/>
    <w:rsid w:val="00E326AC"/>
    <w:rsid w:val="00E33056"/>
    <w:rsid w:val="00E456EB"/>
    <w:rsid w:val="00E52232"/>
    <w:rsid w:val="00E5604A"/>
    <w:rsid w:val="00E56AFD"/>
    <w:rsid w:val="00E57B0D"/>
    <w:rsid w:val="00E650FC"/>
    <w:rsid w:val="00E672AB"/>
    <w:rsid w:val="00E72502"/>
    <w:rsid w:val="00E74136"/>
    <w:rsid w:val="00E83447"/>
    <w:rsid w:val="00E9407C"/>
    <w:rsid w:val="00E95227"/>
    <w:rsid w:val="00EA61E6"/>
    <w:rsid w:val="00EB16DD"/>
    <w:rsid w:val="00EB19E6"/>
    <w:rsid w:val="00EB2698"/>
    <w:rsid w:val="00EB5921"/>
    <w:rsid w:val="00EB7C77"/>
    <w:rsid w:val="00EC0235"/>
    <w:rsid w:val="00EC05AD"/>
    <w:rsid w:val="00EC092E"/>
    <w:rsid w:val="00EC1FF7"/>
    <w:rsid w:val="00ED09F8"/>
    <w:rsid w:val="00ED3160"/>
    <w:rsid w:val="00ED57DC"/>
    <w:rsid w:val="00ED69E2"/>
    <w:rsid w:val="00EE544C"/>
    <w:rsid w:val="00EF5D65"/>
    <w:rsid w:val="00F01996"/>
    <w:rsid w:val="00F05B65"/>
    <w:rsid w:val="00F13896"/>
    <w:rsid w:val="00F204EC"/>
    <w:rsid w:val="00F3100D"/>
    <w:rsid w:val="00F433DD"/>
    <w:rsid w:val="00F51229"/>
    <w:rsid w:val="00F70FC1"/>
    <w:rsid w:val="00F732A0"/>
    <w:rsid w:val="00F762B6"/>
    <w:rsid w:val="00F8141D"/>
    <w:rsid w:val="00F87C05"/>
    <w:rsid w:val="00F9057E"/>
    <w:rsid w:val="00F90ACE"/>
    <w:rsid w:val="00F9244E"/>
    <w:rsid w:val="00F93291"/>
    <w:rsid w:val="00F9505D"/>
    <w:rsid w:val="00FA25CF"/>
    <w:rsid w:val="00FA275F"/>
    <w:rsid w:val="00FA68BA"/>
    <w:rsid w:val="00FB042D"/>
    <w:rsid w:val="00FB0EEE"/>
    <w:rsid w:val="00FB72E0"/>
    <w:rsid w:val="00FC4D8B"/>
    <w:rsid w:val="00FC548B"/>
    <w:rsid w:val="00FC7FB0"/>
    <w:rsid w:val="00FD72EB"/>
    <w:rsid w:val="00FE157A"/>
    <w:rsid w:val="00FE1F38"/>
    <w:rsid w:val="00FE46EE"/>
    <w:rsid w:val="00FE5A9B"/>
    <w:rsid w:val="00FF1505"/>
    <w:rsid w:val="00FF48AA"/>
    <w:rsid w:val="00FF49E3"/>
    <w:rsid w:val="00FF7CD8"/>
    <w:rsid w:val="014C40EC"/>
    <w:rsid w:val="022D4BDE"/>
    <w:rsid w:val="024C6E05"/>
    <w:rsid w:val="02680906"/>
    <w:rsid w:val="03D13C65"/>
    <w:rsid w:val="03EE614B"/>
    <w:rsid w:val="04902CE1"/>
    <w:rsid w:val="06047B21"/>
    <w:rsid w:val="06DE7B18"/>
    <w:rsid w:val="07F659EA"/>
    <w:rsid w:val="08DD58BF"/>
    <w:rsid w:val="099C204D"/>
    <w:rsid w:val="0B720EBE"/>
    <w:rsid w:val="0B7652D3"/>
    <w:rsid w:val="11CF2E09"/>
    <w:rsid w:val="12EB787A"/>
    <w:rsid w:val="130C2527"/>
    <w:rsid w:val="14D2091C"/>
    <w:rsid w:val="15F30261"/>
    <w:rsid w:val="16172322"/>
    <w:rsid w:val="162800F6"/>
    <w:rsid w:val="167E323A"/>
    <w:rsid w:val="172131BA"/>
    <w:rsid w:val="182E31C8"/>
    <w:rsid w:val="1ADC23E5"/>
    <w:rsid w:val="1B5B5FFC"/>
    <w:rsid w:val="1BA0480C"/>
    <w:rsid w:val="1C4D17F5"/>
    <w:rsid w:val="1D0E4962"/>
    <w:rsid w:val="1D2E6FA2"/>
    <w:rsid w:val="1E0C4536"/>
    <w:rsid w:val="1F7175A8"/>
    <w:rsid w:val="20614501"/>
    <w:rsid w:val="20935198"/>
    <w:rsid w:val="21292817"/>
    <w:rsid w:val="214C0AB0"/>
    <w:rsid w:val="21806AE0"/>
    <w:rsid w:val="21B144C6"/>
    <w:rsid w:val="21FC3E0F"/>
    <w:rsid w:val="251A5CDE"/>
    <w:rsid w:val="2672714F"/>
    <w:rsid w:val="2833573C"/>
    <w:rsid w:val="284D0A13"/>
    <w:rsid w:val="28843ECE"/>
    <w:rsid w:val="28AA7EAF"/>
    <w:rsid w:val="2A2225AD"/>
    <w:rsid w:val="2B67117F"/>
    <w:rsid w:val="2BE82F56"/>
    <w:rsid w:val="2BE91D0D"/>
    <w:rsid w:val="2E805E9D"/>
    <w:rsid w:val="2E893014"/>
    <w:rsid w:val="2EF9095D"/>
    <w:rsid w:val="2FAB078A"/>
    <w:rsid w:val="2FC9377C"/>
    <w:rsid w:val="30170CDE"/>
    <w:rsid w:val="305A6798"/>
    <w:rsid w:val="31285C6B"/>
    <w:rsid w:val="31D6099F"/>
    <w:rsid w:val="32251B27"/>
    <w:rsid w:val="324B5CB0"/>
    <w:rsid w:val="3418282F"/>
    <w:rsid w:val="35CC6EB4"/>
    <w:rsid w:val="375C3C71"/>
    <w:rsid w:val="382E3031"/>
    <w:rsid w:val="38C83FAB"/>
    <w:rsid w:val="39771C23"/>
    <w:rsid w:val="39B160E3"/>
    <w:rsid w:val="3A2350C1"/>
    <w:rsid w:val="3B776D40"/>
    <w:rsid w:val="3D300224"/>
    <w:rsid w:val="3D6B32BC"/>
    <w:rsid w:val="3ED61727"/>
    <w:rsid w:val="3F9569C3"/>
    <w:rsid w:val="40E73807"/>
    <w:rsid w:val="42E24CD7"/>
    <w:rsid w:val="437916B9"/>
    <w:rsid w:val="437B16AD"/>
    <w:rsid w:val="44131802"/>
    <w:rsid w:val="4542479D"/>
    <w:rsid w:val="4594590A"/>
    <w:rsid w:val="465D5722"/>
    <w:rsid w:val="466D26A3"/>
    <w:rsid w:val="4791092E"/>
    <w:rsid w:val="4C8A034C"/>
    <w:rsid w:val="4CD666C0"/>
    <w:rsid w:val="4D336846"/>
    <w:rsid w:val="4D532071"/>
    <w:rsid w:val="4DDF7F66"/>
    <w:rsid w:val="4E210850"/>
    <w:rsid w:val="4F1960B4"/>
    <w:rsid w:val="4FC67AF1"/>
    <w:rsid w:val="501D7233"/>
    <w:rsid w:val="50206FB1"/>
    <w:rsid w:val="508B1FC7"/>
    <w:rsid w:val="50A35D92"/>
    <w:rsid w:val="511A2042"/>
    <w:rsid w:val="513C4EE9"/>
    <w:rsid w:val="52235368"/>
    <w:rsid w:val="526133EE"/>
    <w:rsid w:val="530A11DE"/>
    <w:rsid w:val="54A423CF"/>
    <w:rsid w:val="568A0150"/>
    <w:rsid w:val="57EE45CC"/>
    <w:rsid w:val="58AF7069"/>
    <w:rsid w:val="590145B5"/>
    <w:rsid w:val="59AD3BF7"/>
    <w:rsid w:val="5A783E77"/>
    <w:rsid w:val="5B6C5B74"/>
    <w:rsid w:val="5BBA44EE"/>
    <w:rsid w:val="5C4F3A4F"/>
    <w:rsid w:val="5CDC46F4"/>
    <w:rsid w:val="5CFD38A5"/>
    <w:rsid w:val="5D082B83"/>
    <w:rsid w:val="5D895996"/>
    <w:rsid w:val="5D935511"/>
    <w:rsid w:val="5D972067"/>
    <w:rsid w:val="5E201C10"/>
    <w:rsid w:val="5E315865"/>
    <w:rsid w:val="5E6806B0"/>
    <w:rsid w:val="5E8564A9"/>
    <w:rsid w:val="5F01703A"/>
    <w:rsid w:val="5F1B2B45"/>
    <w:rsid w:val="62841290"/>
    <w:rsid w:val="635B0F5E"/>
    <w:rsid w:val="65A60B88"/>
    <w:rsid w:val="67856E43"/>
    <w:rsid w:val="67897E40"/>
    <w:rsid w:val="693F098C"/>
    <w:rsid w:val="6B2550EE"/>
    <w:rsid w:val="6B7F6966"/>
    <w:rsid w:val="6BA05D0E"/>
    <w:rsid w:val="6BCD26C8"/>
    <w:rsid w:val="6BE06A79"/>
    <w:rsid w:val="6C0958FC"/>
    <w:rsid w:val="6D831A29"/>
    <w:rsid w:val="6E57154D"/>
    <w:rsid w:val="6F9A3289"/>
    <w:rsid w:val="7120101C"/>
    <w:rsid w:val="713F1DDC"/>
    <w:rsid w:val="72681B43"/>
    <w:rsid w:val="73BB6A9B"/>
    <w:rsid w:val="740D76AE"/>
    <w:rsid w:val="74AE4BC0"/>
    <w:rsid w:val="74C90E14"/>
    <w:rsid w:val="758B513A"/>
    <w:rsid w:val="759937A9"/>
    <w:rsid w:val="77497110"/>
    <w:rsid w:val="777B5CC0"/>
    <w:rsid w:val="78BB19C2"/>
    <w:rsid w:val="78F77D6A"/>
    <w:rsid w:val="7AA80DCB"/>
    <w:rsid w:val="7C986D6C"/>
    <w:rsid w:val="7DDE4476"/>
    <w:rsid w:val="7E8617F7"/>
    <w:rsid w:val="7F75108F"/>
    <w:rsid w:val="7F7E36F5"/>
    <w:rsid w:val="7F892578"/>
    <w:rsid w:val="7FB47B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nhideWhenUsed="0" w:uiPriority="0"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41"/>
    <w:qFormat/>
    <w:uiPriority w:val="99"/>
    <w:pPr>
      <w:keepNext/>
      <w:keepLines/>
      <w:spacing w:before="340" w:after="330" w:line="578" w:lineRule="auto"/>
      <w:outlineLvl w:val="0"/>
    </w:pPr>
    <w:rPr>
      <w:kern w:val="44"/>
      <w:sz w:val="44"/>
      <w:szCs w:val="44"/>
    </w:rPr>
  </w:style>
  <w:style w:type="paragraph" w:styleId="4">
    <w:name w:val="heading 2"/>
    <w:basedOn w:val="1"/>
    <w:next w:val="1"/>
    <w:link w:val="40"/>
    <w:qFormat/>
    <w:uiPriority w:val="99"/>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link w:val="43"/>
    <w:qFormat/>
    <w:uiPriority w:val="99"/>
    <w:pPr>
      <w:keepNext/>
      <w:keepLines/>
      <w:spacing w:before="260" w:after="260" w:line="416" w:lineRule="auto"/>
      <w:outlineLvl w:val="2"/>
    </w:pPr>
    <w:rPr>
      <w:b/>
      <w:bCs/>
      <w:kern w:val="0"/>
      <w:sz w:val="32"/>
      <w:szCs w:val="32"/>
    </w:rPr>
  </w:style>
  <w:style w:type="paragraph" w:styleId="6">
    <w:name w:val="heading 9"/>
    <w:next w:val="1"/>
    <w:qFormat/>
    <w:locked/>
    <w:uiPriority w:val="0"/>
    <w:pPr>
      <w:widowControl w:val="0"/>
      <w:spacing w:line="300" w:lineRule="auto"/>
      <w:ind w:firstLine="425"/>
      <w:jc w:val="both"/>
      <w:outlineLvl w:val="8"/>
    </w:pPr>
    <w:rPr>
      <w:rFonts w:ascii="Calibri" w:hAnsi="Calibri" w:eastAsia="宋体" w:cs="Times New Roman"/>
      <w:sz w:val="21"/>
      <w:lang w:val="en-US" w:eastAsia="zh-CN" w:bidi="ar-SA"/>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link w:val="70"/>
    <w:qFormat/>
    <w:uiPriority w:val="99"/>
    <w:pPr>
      <w:spacing w:before="240" w:after="60"/>
      <w:jc w:val="left"/>
      <w:outlineLvl w:val="0"/>
    </w:pPr>
    <w:rPr>
      <w:rFonts w:ascii="Cambria" w:hAnsi="Cambria"/>
      <w:b/>
      <w:bCs/>
      <w:sz w:val="24"/>
      <w:szCs w:val="32"/>
    </w:rPr>
  </w:style>
  <w:style w:type="paragraph" w:styleId="7">
    <w:name w:val="Normal Indent"/>
    <w:basedOn w:val="1"/>
    <w:link w:val="56"/>
    <w:qFormat/>
    <w:uiPriority w:val="99"/>
    <w:pPr>
      <w:spacing w:line="360" w:lineRule="auto"/>
    </w:pPr>
    <w:rPr>
      <w:rFonts w:ascii="宋体" w:hAnsi="宋体"/>
      <w:szCs w:val="21"/>
    </w:rPr>
  </w:style>
  <w:style w:type="paragraph" w:styleId="8">
    <w:name w:val="Document Map"/>
    <w:basedOn w:val="1"/>
    <w:link w:val="54"/>
    <w:qFormat/>
    <w:uiPriority w:val="99"/>
    <w:rPr>
      <w:rFonts w:ascii="宋体"/>
      <w:kern w:val="0"/>
      <w:sz w:val="18"/>
      <w:szCs w:val="18"/>
    </w:rPr>
  </w:style>
  <w:style w:type="paragraph" w:styleId="9">
    <w:name w:val="annotation text"/>
    <w:basedOn w:val="1"/>
    <w:link w:val="71"/>
    <w:qFormat/>
    <w:uiPriority w:val="99"/>
    <w:pPr>
      <w:jc w:val="left"/>
    </w:pPr>
  </w:style>
  <w:style w:type="paragraph" w:styleId="10">
    <w:name w:val="Body Text 3"/>
    <w:basedOn w:val="1"/>
    <w:link w:val="50"/>
    <w:qFormat/>
    <w:uiPriority w:val="99"/>
    <w:pPr>
      <w:spacing w:after="120"/>
    </w:pPr>
    <w:rPr>
      <w:sz w:val="16"/>
      <w:szCs w:val="16"/>
    </w:rPr>
  </w:style>
  <w:style w:type="paragraph" w:styleId="11">
    <w:name w:val="Body Text"/>
    <w:basedOn w:val="1"/>
    <w:link w:val="62"/>
    <w:qFormat/>
    <w:uiPriority w:val="99"/>
    <w:pPr>
      <w:spacing w:after="120"/>
    </w:pPr>
  </w:style>
  <w:style w:type="paragraph" w:styleId="12">
    <w:name w:val="Body Text Indent"/>
    <w:basedOn w:val="1"/>
    <w:link w:val="48"/>
    <w:qFormat/>
    <w:uiPriority w:val="99"/>
    <w:pPr>
      <w:spacing w:line="360" w:lineRule="auto"/>
      <w:ind w:firstLine="600" w:firstLineChars="200"/>
    </w:pPr>
    <w:rPr>
      <w:sz w:val="30"/>
    </w:rPr>
  </w:style>
  <w:style w:type="paragraph" w:styleId="13">
    <w:name w:val="toc 3"/>
    <w:basedOn w:val="1"/>
    <w:next w:val="1"/>
    <w:qFormat/>
    <w:uiPriority w:val="99"/>
    <w:pPr>
      <w:adjustRightInd w:val="0"/>
      <w:snapToGrid w:val="0"/>
      <w:spacing w:line="500" w:lineRule="atLeast"/>
      <w:ind w:left="480"/>
      <w:jc w:val="left"/>
    </w:pPr>
    <w:rPr>
      <w:rFonts w:ascii="仿宋_GB2312" w:eastAsia="仿宋_GB2312"/>
      <w:b/>
      <w:bCs/>
      <w:sz w:val="24"/>
    </w:rPr>
  </w:style>
  <w:style w:type="paragraph" w:styleId="14">
    <w:name w:val="Plain Text"/>
    <w:basedOn w:val="1"/>
    <w:link w:val="58"/>
    <w:qFormat/>
    <w:uiPriority w:val="99"/>
    <w:rPr>
      <w:rFonts w:ascii="宋体" w:hAnsi="Courier New"/>
      <w:szCs w:val="21"/>
    </w:rPr>
  </w:style>
  <w:style w:type="paragraph" w:styleId="15">
    <w:name w:val="Date"/>
    <w:basedOn w:val="1"/>
    <w:next w:val="1"/>
    <w:link w:val="47"/>
    <w:qFormat/>
    <w:uiPriority w:val="99"/>
    <w:pPr>
      <w:ind w:left="100" w:leftChars="2500"/>
    </w:pPr>
    <w:rPr>
      <w:sz w:val="24"/>
    </w:rPr>
  </w:style>
  <w:style w:type="paragraph" w:styleId="16">
    <w:name w:val="Body Text Indent 2"/>
    <w:basedOn w:val="1"/>
    <w:link w:val="68"/>
    <w:qFormat/>
    <w:uiPriority w:val="99"/>
    <w:pPr>
      <w:spacing w:after="120" w:line="480" w:lineRule="auto"/>
      <w:ind w:left="420" w:leftChars="200"/>
    </w:pPr>
    <w:rPr>
      <w:sz w:val="28"/>
      <w:szCs w:val="20"/>
    </w:rPr>
  </w:style>
  <w:style w:type="paragraph" w:styleId="17">
    <w:name w:val="Balloon Text"/>
    <w:basedOn w:val="1"/>
    <w:link w:val="64"/>
    <w:qFormat/>
    <w:uiPriority w:val="99"/>
    <w:rPr>
      <w:sz w:val="18"/>
      <w:szCs w:val="18"/>
    </w:rPr>
  </w:style>
  <w:style w:type="paragraph" w:styleId="18">
    <w:name w:val="footer"/>
    <w:basedOn w:val="1"/>
    <w:link w:val="45"/>
    <w:qFormat/>
    <w:uiPriority w:val="99"/>
    <w:pPr>
      <w:tabs>
        <w:tab w:val="center" w:pos="4153"/>
        <w:tab w:val="right" w:pos="8306"/>
      </w:tabs>
      <w:snapToGrid w:val="0"/>
      <w:jc w:val="left"/>
    </w:pPr>
    <w:rPr>
      <w:sz w:val="18"/>
      <w:szCs w:val="18"/>
    </w:rPr>
  </w:style>
  <w:style w:type="paragraph" w:styleId="19">
    <w:name w:val="header"/>
    <w:basedOn w:val="1"/>
    <w:link w:val="44"/>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left" w:pos="630"/>
        <w:tab w:val="right" w:leader="dot" w:pos="9277"/>
      </w:tabs>
      <w:ind w:left="284" w:leftChars="156"/>
    </w:pPr>
    <w:rPr>
      <w:sz w:val="28"/>
      <w:szCs w:val="20"/>
    </w:rPr>
  </w:style>
  <w:style w:type="paragraph" w:styleId="21">
    <w:name w:val="toc 2"/>
    <w:basedOn w:val="1"/>
    <w:next w:val="1"/>
    <w:qFormat/>
    <w:uiPriority w:val="39"/>
    <w:pPr>
      <w:ind w:left="420" w:leftChars="200"/>
    </w:pPr>
    <w:rPr>
      <w:sz w:val="28"/>
      <w:szCs w:val="20"/>
    </w:rPr>
  </w:style>
  <w:style w:type="paragraph" w:styleId="22">
    <w:name w:val="Normal (Web)"/>
    <w:basedOn w:val="1"/>
    <w:qFormat/>
    <w:uiPriority w:val="99"/>
    <w:pPr>
      <w:widowControl/>
      <w:spacing w:before="100" w:beforeAutospacing="1" w:after="100" w:afterAutospacing="1"/>
      <w:jc w:val="left"/>
    </w:pPr>
    <w:rPr>
      <w:rFonts w:ascii="&amp;#23435;&amp;#20307;" w:hAnsi="&amp;#23435;&amp;#20307;"/>
      <w:kern w:val="0"/>
      <w:sz w:val="18"/>
      <w:szCs w:val="18"/>
    </w:rPr>
  </w:style>
  <w:style w:type="paragraph" w:styleId="23">
    <w:name w:val="annotation subject"/>
    <w:basedOn w:val="9"/>
    <w:next w:val="9"/>
    <w:link w:val="72"/>
    <w:qFormat/>
    <w:uiPriority w:val="99"/>
    <w:rPr>
      <w:b/>
      <w:bCs/>
    </w:rPr>
  </w:style>
  <w:style w:type="table" w:styleId="25">
    <w:name w:val="Table Grid"/>
    <w:basedOn w:val="24"/>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Strong"/>
    <w:basedOn w:val="26"/>
    <w:qFormat/>
    <w:locked/>
    <w:uiPriority w:val="0"/>
    <w:rPr>
      <w:b/>
    </w:rPr>
  </w:style>
  <w:style w:type="character" w:styleId="28">
    <w:name w:val="page number"/>
    <w:basedOn w:val="26"/>
    <w:qFormat/>
    <w:uiPriority w:val="99"/>
    <w:rPr>
      <w:rFonts w:cs="Times New Roman"/>
    </w:rPr>
  </w:style>
  <w:style w:type="character" w:styleId="29">
    <w:name w:val="FollowedHyperlink"/>
    <w:qFormat/>
    <w:uiPriority w:val="99"/>
    <w:rPr>
      <w:rFonts w:cs="Times New Roman"/>
      <w:color w:val="800080"/>
      <w:u w:val="single"/>
    </w:rPr>
  </w:style>
  <w:style w:type="character" w:styleId="30">
    <w:name w:val="Emphasis"/>
    <w:basedOn w:val="26"/>
    <w:qFormat/>
    <w:locked/>
    <w:uiPriority w:val="0"/>
    <w:rPr>
      <w:i/>
    </w:rPr>
  </w:style>
  <w:style w:type="character" w:styleId="31">
    <w:name w:val="HTML Definition"/>
    <w:basedOn w:val="26"/>
    <w:unhideWhenUsed/>
    <w:qFormat/>
    <w:uiPriority w:val="99"/>
  </w:style>
  <w:style w:type="character" w:styleId="32">
    <w:name w:val="HTML Acronym"/>
    <w:basedOn w:val="26"/>
    <w:unhideWhenUsed/>
    <w:qFormat/>
    <w:uiPriority w:val="99"/>
  </w:style>
  <w:style w:type="character" w:styleId="33">
    <w:name w:val="HTML Variable"/>
    <w:basedOn w:val="26"/>
    <w:unhideWhenUsed/>
    <w:qFormat/>
    <w:uiPriority w:val="99"/>
  </w:style>
  <w:style w:type="character" w:styleId="34">
    <w:name w:val="Hyperlink"/>
    <w:qFormat/>
    <w:uiPriority w:val="99"/>
    <w:rPr>
      <w:rFonts w:cs="Times New Roman"/>
      <w:color w:val="0000FF"/>
      <w:u w:val="single"/>
    </w:rPr>
  </w:style>
  <w:style w:type="character" w:styleId="35">
    <w:name w:val="HTML Code"/>
    <w:basedOn w:val="26"/>
    <w:unhideWhenUsed/>
    <w:qFormat/>
    <w:uiPriority w:val="99"/>
    <w:rPr>
      <w:rFonts w:ascii="monospace" w:hAnsi="monospace" w:eastAsia="monospace" w:cs="monospace"/>
      <w:sz w:val="24"/>
      <w:szCs w:val="24"/>
    </w:rPr>
  </w:style>
  <w:style w:type="character" w:styleId="36">
    <w:name w:val="annotation reference"/>
    <w:qFormat/>
    <w:uiPriority w:val="99"/>
    <w:rPr>
      <w:rFonts w:cs="Times New Roman"/>
      <w:sz w:val="21"/>
    </w:rPr>
  </w:style>
  <w:style w:type="character" w:styleId="37">
    <w:name w:val="HTML Cite"/>
    <w:basedOn w:val="26"/>
    <w:unhideWhenUsed/>
    <w:qFormat/>
    <w:uiPriority w:val="99"/>
  </w:style>
  <w:style w:type="character" w:styleId="38">
    <w:name w:val="HTML Keyboard"/>
    <w:basedOn w:val="26"/>
    <w:unhideWhenUsed/>
    <w:qFormat/>
    <w:uiPriority w:val="99"/>
    <w:rPr>
      <w:rFonts w:hint="default" w:ascii="monospace" w:hAnsi="monospace" w:eastAsia="monospace" w:cs="monospace"/>
      <w:sz w:val="24"/>
      <w:szCs w:val="24"/>
    </w:rPr>
  </w:style>
  <w:style w:type="character" w:styleId="39">
    <w:name w:val="HTML Sample"/>
    <w:basedOn w:val="26"/>
    <w:unhideWhenUsed/>
    <w:qFormat/>
    <w:uiPriority w:val="99"/>
    <w:rPr>
      <w:rFonts w:hint="default" w:ascii="monospace" w:hAnsi="monospace" w:eastAsia="monospace" w:cs="monospace"/>
      <w:sz w:val="24"/>
      <w:szCs w:val="24"/>
    </w:rPr>
  </w:style>
  <w:style w:type="character" w:customStyle="1" w:styleId="40">
    <w:name w:val="标题 2 Char"/>
    <w:link w:val="4"/>
    <w:qFormat/>
    <w:locked/>
    <w:uiPriority w:val="99"/>
    <w:rPr>
      <w:rFonts w:ascii="Arial" w:hAnsi="Arial" w:eastAsia="黑体"/>
      <w:b/>
      <w:sz w:val="32"/>
    </w:rPr>
  </w:style>
  <w:style w:type="character" w:customStyle="1" w:styleId="41">
    <w:name w:val="标题 1 Char1"/>
    <w:link w:val="2"/>
    <w:qFormat/>
    <w:locked/>
    <w:uiPriority w:val="99"/>
    <w:rPr>
      <w:b/>
      <w:kern w:val="44"/>
      <w:sz w:val="44"/>
    </w:rPr>
  </w:style>
  <w:style w:type="character" w:customStyle="1" w:styleId="42">
    <w:name w:val="Heading 2 Char"/>
    <w:semiHidden/>
    <w:qFormat/>
    <w:uiPriority w:val="9"/>
    <w:rPr>
      <w:rFonts w:ascii="Cambria" w:hAnsi="Cambria" w:eastAsia="宋体" w:cs="Times New Roman"/>
      <w:b/>
      <w:bCs/>
      <w:sz w:val="32"/>
      <w:szCs w:val="32"/>
    </w:rPr>
  </w:style>
  <w:style w:type="character" w:customStyle="1" w:styleId="43">
    <w:name w:val="标题 3 Char"/>
    <w:link w:val="5"/>
    <w:qFormat/>
    <w:locked/>
    <w:uiPriority w:val="99"/>
    <w:rPr>
      <w:b/>
      <w:sz w:val="32"/>
    </w:rPr>
  </w:style>
  <w:style w:type="character" w:customStyle="1" w:styleId="44">
    <w:name w:val="页眉 Char"/>
    <w:link w:val="19"/>
    <w:qFormat/>
    <w:locked/>
    <w:uiPriority w:val="99"/>
    <w:rPr>
      <w:rFonts w:eastAsia="宋体"/>
      <w:kern w:val="2"/>
      <w:sz w:val="18"/>
      <w:lang w:val="en-US" w:eastAsia="zh-CN"/>
    </w:rPr>
  </w:style>
  <w:style w:type="character" w:customStyle="1" w:styleId="45">
    <w:name w:val="页脚 Char"/>
    <w:link w:val="18"/>
    <w:qFormat/>
    <w:locked/>
    <w:uiPriority w:val="99"/>
    <w:rPr>
      <w:kern w:val="2"/>
      <w:sz w:val="18"/>
    </w:rPr>
  </w:style>
  <w:style w:type="paragraph" w:customStyle="1" w:styleId="46">
    <w:name w:val="列出段落1"/>
    <w:basedOn w:val="1"/>
    <w:qFormat/>
    <w:uiPriority w:val="99"/>
    <w:pPr>
      <w:ind w:firstLine="420" w:firstLineChars="200"/>
    </w:pPr>
    <w:rPr>
      <w:rFonts w:ascii="Calibri" w:hAnsi="Calibri"/>
      <w:szCs w:val="22"/>
    </w:rPr>
  </w:style>
  <w:style w:type="character" w:customStyle="1" w:styleId="47">
    <w:name w:val="日期 Char"/>
    <w:link w:val="15"/>
    <w:qFormat/>
    <w:locked/>
    <w:uiPriority w:val="99"/>
    <w:rPr>
      <w:kern w:val="2"/>
      <w:sz w:val="24"/>
    </w:rPr>
  </w:style>
  <w:style w:type="character" w:customStyle="1" w:styleId="48">
    <w:name w:val="正文文本缩进 Char"/>
    <w:link w:val="12"/>
    <w:qFormat/>
    <w:locked/>
    <w:uiPriority w:val="99"/>
    <w:rPr>
      <w:kern w:val="2"/>
      <w:sz w:val="24"/>
    </w:rPr>
  </w:style>
  <w:style w:type="character" w:customStyle="1" w:styleId="49">
    <w:name w:val="Body Text 3 Char"/>
    <w:qFormat/>
    <w:locked/>
    <w:uiPriority w:val="99"/>
    <w:rPr>
      <w:kern w:val="2"/>
      <w:sz w:val="16"/>
    </w:rPr>
  </w:style>
  <w:style w:type="character" w:customStyle="1" w:styleId="50">
    <w:name w:val="正文文本 3 Char"/>
    <w:link w:val="10"/>
    <w:semiHidden/>
    <w:qFormat/>
    <w:uiPriority w:val="99"/>
    <w:rPr>
      <w:sz w:val="16"/>
      <w:szCs w:val="16"/>
    </w:rPr>
  </w:style>
  <w:style w:type="character" w:customStyle="1" w:styleId="51">
    <w:name w:val="正文文本 3 Char1"/>
    <w:qFormat/>
    <w:uiPriority w:val="99"/>
    <w:rPr>
      <w:kern w:val="2"/>
      <w:sz w:val="16"/>
    </w:rPr>
  </w:style>
  <w:style w:type="character" w:customStyle="1" w:styleId="52">
    <w:name w:val="标题 1 Char"/>
    <w:qFormat/>
    <w:uiPriority w:val="99"/>
    <w:rPr>
      <w:b/>
      <w:kern w:val="44"/>
      <w:sz w:val="44"/>
    </w:rPr>
  </w:style>
  <w:style w:type="paragraph" w:customStyle="1" w:styleId="53">
    <w:name w:val="Char Char Char Char Char Char Char Char Char Char Char Char Char Char Char Char"/>
    <w:basedOn w:val="8"/>
    <w:semiHidden/>
    <w:qFormat/>
    <w:uiPriority w:val="99"/>
    <w:pPr>
      <w:shd w:val="clear" w:color="auto" w:fill="000080"/>
      <w:spacing w:line="360" w:lineRule="auto"/>
      <w:ind w:firstLine="200" w:firstLineChars="200"/>
    </w:pPr>
    <w:rPr>
      <w:rFonts w:ascii="Tahoma" w:hAnsi="Tahoma"/>
      <w:sz w:val="24"/>
      <w:szCs w:val="24"/>
    </w:rPr>
  </w:style>
  <w:style w:type="character" w:customStyle="1" w:styleId="54">
    <w:name w:val="文档结构图 Char"/>
    <w:link w:val="8"/>
    <w:qFormat/>
    <w:locked/>
    <w:uiPriority w:val="99"/>
    <w:rPr>
      <w:rFonts w:ascii="宋体"/>
      <w:sz w:val="18"/>
    </w:rPr>
  </w:style>
  <w:style w:type="character" w:customStyle="1" w:styleId="55">
    <w:name w:val="Plain Text Char"/>
    <w:qFormat/>
    <w:locked/>
    <w:uiPriority w:val="99"/>
    <w:rPr>
      <w:rFonts w:ascii="宋体" w:hAnsi="Courier New"/>
      <w:kern w:val="2"/>
      <w:sz w:val="21"/>
    </w:rPr>
  </w:style>
  <w:style w:type="character" w:customStyle="1" w:styleId="56">
    <w:name w:val="正文缩进 Char"/>
    <w:link w:val="7"/>
    <w:qFormat/>
    <w:locked/>
    <w:uiPriority w:val="99"/>
    <w:rPr>
      <w:rFonts w:ascii="宋体" w:eastAsia="宋体"/>
      <w:kern w:val="2"/>
      <w:sz w:val="21"/>
    </w:rPr>
  </w:style>
  <w:style w:type="paragraph" w:customStyle="1" w:styleId="57">
    <w:name w:val="Char4"/>
    <w:basedOn w:val="1"/>
    <w:qFormat/>
    <w:uiPriority w:val="99"/>
    <w:pPr>
      <w:tabs>
        <w:tab w:val="left" w:pos="360"/>
      </w:tabs>
      <w:ind w:left="360" w:hanging="360" w:hangingChars="200"/>
    </w:pPr>
  </w:style>
  <w:style w:type="character" w:customStyle="1" w:styleId="58">
    <w:name w:val="纯文本 Char"/>
    <w:link w:val="14"/>
    <w:semiHidden/>
    <w:qFormat/>
    <w:uiPriority w:val="99"/>
    <w:rPr>
      <w:rFonts w:ascii="宋体" w:hAnsi="Courier New" w:cs="Courier New"/>
      <w:szCs w:val="21"/>
    </w:rPr>
  </w:style>
  <w:style w:type="character" w:customStyle="1" w:styleId="59">
    <w:name w:val="纯文本 Char1"/>
    <w:qFormat/>
    <w:uiPriority w:val="99"/>
    <w:rPr>
      <w:rFonts w:ascii="宋体" w:hAnsi="Courier New"/>
      <w:kern w:val="2"/>
      <w:sz w:val="21"/>
    </w:rPr>
  </w:style>
  <w:style w:type="paragraph" w:customStyle="1" w:styleId="60">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character" w:customStyle="1" w:styleId="61">
    <w:name w:val="Body Text Char"/>
    <w:qFormat/>
    <w:locked/>
    <w:uiPriority w:val="99"/>
    <w:rPr>
      <w:kern w:val="2"/>
      <w:sz w:val="24"/>
    </w:rPr>
  </w:style>
  <w:style w:type="character" w:customStyle="1" w:styleId="62">
    <w:name w:val="正文文本 Char"/>
    <w:link w:val="11"/>
    <w:semiHidden/>
    <w:qFormat/>
    <w:uiPriority w:val="99"/>
    <w:rPr>
      <w:szCs w:val="24"/>
    </w:rPr>
  </w:style>
  <w:style w:type="character" w:customStyle="1" w:styleId="63">
    <w:name w:val="正文文本 Char1"/>
    <w:qFormat/>
    <w:uiPriority w:val="99"/>
    <w:rPr>
      <w:kern w:val="2"/>
      <w:sz w:val="24"/>
    </w:rPr>
  </w:style>
  <w:style w:type="character" w:customStyle="1" w:styleId="64">
    <w:name w:val="批注框文本 Char"/>
    <w:link w:val="17"/>
    <w:qFormat/>
    <w:locked/>
    <w:uiPriority w:val="99"/>
    <w:rPr>
      <w:kern w:val="2"/>
      <w:sz w:val="18"/>
    </w:rPr>
  </w:style>
  <w:style w:type="paragraph" w:customStyle="1" w:styleId="65">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67">
    <w:name w:val="无间隔1"/>
    <w:qFormat/>
    <w:uiPriority w:val="99"/>
    <w:pPr>
      <w:widowControl w:val="0"/>
      <w:jc w:val="both"/>
    </w:pPr>
    <w:rPr>
      <w:rFonts w:ascii="Times New Roman" w:hAnsi="Times New Roman" w:eastAsia="宋体" w:cs="Times New Roman"/>
      <w:kern w:val="2"/>
      <w:sz w:val="28"/>
      <w:lang w:val="en-US" w:eastAsia="zh-CN" w:bidi="ar-SA"/>
    </w:rPr>
  </w:style>
  <w:style w:type="character" w:customStyle="1" w:styleId="68">
    <w:name w:val="正文文本缩进 2 Char"/>
    <w:link w:val="16"/>
    <w:qFormat/>
    <w:locked/>
    <w:uiPriority w:val="99"/>
    <w:rPr>
      <w:kern w:val="2"/>
      <w:sz w:val="28"/>
    </w:rPr>
  </w:style>
  <w:style w:type="paragraph" w:customStyle="1" w:styleId="69">
    <w:name w:val="Default"/>
    <w:qFormat/>
    <w:uiPriority w:val="99"/>
    <w:pPr>
      <w:widowControl w:val="0"/>
      <w:autoSpaceDE w:val="0"/>
      <w:autoSpaceDN w:val="0"/>
      <w:adjustRightInd w:val="0"/>
    </w:pPr>
    <w:rPr>
      <w:rFonts w:ascii="楷体_GB2312" w:hAnsi="宋体" w:eastAsia="楷体_GB2312" w:cs="楷体_GB2312"/>
      <w:color w:val="000000"/>
      <w:sz w:val="24"/>
      <w:szCs w:val="24"/>
      <w:lang w:val="en-US" w:eastAsia="zh-CN" w:bidi="ar-SA"/>
    </w:rPr>
  </w:style>
  <w:style w:type="character" w:customStyle="1" w:styleId="70">
    <w:name w:val="标题 Char"/>
    <w:link w:val="3"/>
    <w:qFormat/>
    <w:locked/>
    <w:uiPriority w:val="99"/>
    <w:rPr>
      <w:rFonts w:ascii="Cambria" w:hAnsi="Cambria"/>
      <w:b/>
      <w:kern w:val="2"/>
      <w:sz w:val="32"/>
    </w:rPr>
  </w:style>
  <w:style w:type="character" w:customStyle="1" w:styleId="71">
    <w:name w:val="批注文字 Char"/>
    <w:link w:val="9"/>
    <w:qFormat/>
    <w:locked/>
    <w:uiPriority w:val="99"/>
    <w:rPr>
      <w:kern w:val="2"/>
      <w:sz w:val="24"/>
    </w:rPr>
  </w:style>
  <w:style w:type="character" w:customStyle="1" w:styleId="72">
    <w:name w:val="批注主题 Char"/>
    <w:link w:val="23"/>
    <w:qFormat/>
    <w:locked/>
    <w:uiPriority w:val="99"/>
    <w:rPr>
      <w:b/>
      <w:kern w:val="2"/>
      <w:sz w:val="24"/>
    </w:rPr>
  </w:style>
  <w:style w:type="character" w:customStyle="1" w:styleId="73">
    <w:name w:val="批注文字 Char1"/>
    <w:qFormat/>
    <w:uiPriority w:val="99"/>
    <w:rPr>
      <w:kern w:val="2"/>
      <w:sz w:val="24"/>
    </w:rPr>
  </w:style>
  <w:style w:type="character" w:customStyle="1" w:styleId="74">
    <w:name w:val="ico-jiang"/>
    <w:basedOn w:val="26"/>
    <w:qFormat/>
    <w:uiPriority w:val="0"/>
  </w:style>
  <w:style w:type="character" w:customStyle="1" w:styleId="75">
    <w:name w:val="ico-jiang1"/>
    <w:basedOn w:val="26"/>
    <w:qFormat/>
    <w:uiPriority w:val="0"/>
  </w:style>
  <w:style w:type="character" w:customStyle="1" w:styleId="76">
    <w:name w:val="top-icon"/>
    <w:basedOn w:val="26"/>
    <w:qFormat/>
    <w:uiPriority w:val="0"/>
  </w:style>
  <w:style w:type="character" w:customStyle="1" w:styleId="77">
    <w:name w:val="tip"/>
    <w:basedOn w:val="26"/>
    <w:qFormat/>
    <w:uiPriority w:val="0"/>
    <w:rPr>
      <w:vanish/>
      <w:color w:val="FF0000"/>
      <w:sz w:val="18"/>
      <w:szCs w:val="18"/>
    </w:rPr>
  </w:style>
  <w:style w:type="character" w:customStyle="1" w:styleId="78">
    <w:name w:val="f-star"/>
    <w:basedOn w:val="26"/>
    <w:qFormat/>
    <w:uiPriority w:val="0"/>
    <w:rPr>
      <w:color w:val="999999"/>
      <w:sz w:val="21"/>
      <w:szCs w:val="21"/>
    </w:rPr>
  </w:style>
  <w:style w:type="character" w:customStyle="1" w:styleId="79">
    <w:name w:val="my-notice"/>
    <w:basedOn w:val="26"/>
    <w:qFormat/>
    <w:uiPriority w:val="0"/>
  </w:style>
  <w:style w:type="character" w:customStyle="1" w:styleId="80">
    <w:name w:val="ui-bz-bg-hover"/>
    <w:basedOn w:val="26"/>
    <w:qFormat/>
    <w:uiPriority w:val="0"/>
    <w:rPr>
      <w:shd w:val="clear" w:color="auto" w:fill="000000"/>
    </w:rPr>
  </w:style>
  <w:style w:type="character" w:customStyle="1" w:styleId="81">
    <w:name w:val="ui-bz-bg-hover1"/>
    <w:basedOn w:val="26"/>
    <w:qFormat/>
    <w:uiPriority w:val="0"/>
  </w:style>
  <w:style w:type="character" w:customStyle="1" w:styleId="82">
    <w:name w:val="bds_nopic"/>
    <w:basedOn w:val="26"/>
    <w:qFormat/>
    <w:uiPriority w:val="0"/>
  </w:style>
  <w:style w:type="character" w:customStyle="1" w:styleId="83">
    <w:name w:val="bds_nopic1"/>
    <w:basedOn w:val="26"/>
    <w:qFormat/>
    <w:uiPriority w:val="0"/>
  </w:style>
  <w:style w:type="character" w:customStyle="1" w:styleId="84">
    <w:name w:val="no7"/>
    <w:basedOn w:val="26"/>
    <w:qFormat/>
    <w:uiPriority w:val="0"/>
  </w:style>
  <w:style w:type="character" w:customStyle="1" w:styleId="85">
    <w:name w:val="no6"/>
    <w:basedOn w:val="26"/>
    <w:qFormat/>
    <w:uiPriority w:val="0"/>
  </w:style>
  <w:style w:type="character" w:customStyle="1" w:styleId="86">
    <w:name w:val="no42"/>
    <w:basedOn w:val="26"/>
    <w:qFormat/>
    <w:uiPriority w:val="0"/>
  </w:style>
  <w:style w:type="character" w:customStyle="1" w:styleId="87">
    <w:name w:val="no52"/>
    <w:basedOn w:val="26"/>
    <w:qFormat/>
    <w:uiPriority w:val="0"/>
  </w:style>
  <w:style w:type="character" w:customStyle="1" w:styleId="88">
    <w:name w:val="my-class"/>
    <w:basedOn w:val="26"/>
    <w:qFormat/>
    <w:uiPriority w:val="0"/>
  </w:style>
  <w:style w:type="character" w:customStyle="1" w:styleId="89">
    <w:name w:val="bds_more"/>
    <w:basedOn w:val="26"/>
    <w:qFormat/>
    <w:uiPriority w:val="0"/>
  </w:style>
  <w:style w:type="character" w:customStyle="1" w:styleId="90">
    <w:name w:val="bds_more1"/>
    <w:basedOn w:val="26"/>
    <w:qFormat/>
    <w:uiPriority w:val="0"/>
    <w:rPr>
      <w:rFonts w:hint="eastAsia" w:ascii="宋体" w:hAnsi="宋体" w:eastAsia="宋体" w:cs="宋体"/>
    </w:rPr>
  </w:style>
  <w:style w:type="character" w:customStyle="1" w:styleId="91">
    <w:name w:val="bds_more2"/>
    <w:basedOn w:val="26"/>
    <w:qFormat/>
    <w:uiPriority w:val="0"/>
    <w:rPr>
      <w:rFonts w:ascii="宋体 ! important" w:hAnsi="宋体 ! important" w:eastAsia="宋体 ! important" w:cs="宋体 ! important"/>
      <w:color w:val="454545"/>
      <w:sz w:val="18"/>
      <w:szCs w:val="18"/>
    </w:rPr>
  </w:style>
  <w:style w:type="character" w:customStyle="1" w:styleId="92">
    <w:name w:val="t-tag"/>
    <w:basedOn w:val="26"/>
    <w:qFormat/>
    <w:uiPriority w:val="0"/>
    <w:rPr>
      <w:color w:val="FFFFFF"/>
      <w:sz w:val="18"/>
      <w:szCs w:val="18"/>
      <w:shd w:val="clear" w:color="auto" w:fill="FE8833"/>
    </w:rPr>
  </w:style>
  <w:style w:type="character" w:customStyle="1" w:styleId="93">
    <w:name w:val="org_name2"/>
    <w:basedOn w:val="26"/>
    <w:qFormat/>
    <w:uiPriority w:val="0"/>
  </w:style>
  <w:style w:type="character" w:customStyle="1" w:styleId="94">
    <w:name w:val="orange6"/>
    <w:basedOn w:val="26"/>
    <w:qFormat/>
    <w:uiPriority w:val="0"/>
    <w:rPr>
      <w:color w:val="3FB58F"/>
    </w:rPr>
  </w:style>
  <w:style w:type="character" w:customStyle="1" w:styleId="95">
    <w:name w:val="no72"/>
    <w:basedOn w:val="26"/>
    <w:qFormat/>
    <w:uiPriority w:val="0"/>
  </w:style>
  <w:style w:type="character" w:customStyle="1" w:styleId="96">
    <w:name w:val="orange"/>
    <w:basedOn w:val="26"/>
    <w:qFormat/>
    <w:uiPriority w:val="0"/>
    <w:rPr>
      <w:color w:val="3FB58F"/>
    </w:rPr>
  </w:style>
  <w:style w:type="character" w:customStyle="1" w:styleId="97">
    <w:name w:val="no62"/>
    <w:basedOn w:val="26"/>
    <w:qFormat/>
    <w:uiPriority w:val="0"/>
  </w:style>
  <w:style w:type="character" w:customStyle="1" w:styleId="98">
    <w:name w:val="tip10"/>
    <w:basedOn w:val="26"/>
    <w:qFormat/>
    <w:uiPriority w:val="0"/>
    <w:rPr>
      <w:vanish/>
      <w:color w:val="FF0000"/>
      <w:sz w:val="18"/>
      <w:szCs w:val="18"/>
    </w:rPr>
  </w:style>
  <w:style w:type="character" w:customStyle="1" w:styleId="99">
    <w:name w:val="org_name"/>
    <w:basedOn w:val="26"/>
    <w:qFormat/>
    <w:uiPriority w:val="0"/>
  </w:style>
  <w:style w:type="character" w:customStyle="1" w:styleId="100">
    <w:name w:val="bds_nopic2"/>
    <w:basedOn w:val="26"/>
    <w:qFormat/>
    <w:uiPriority w:val="0"/>
  </w:style>
  <w:style w:type="character" w:customStyle="1" w:styleId="101">
    <w:name w:val="my-notice1"/>
    <w:basedOn w:val="26"/>
    <w:qFormat/>
    <w:uiPriority w:val="0"/>
  </w:style>
  <w:style w:type="character" w:customStyle="1" w:styleId="102">
    <w:name w:val="tip9"/>
    <w:basedOn w:val="26"/>
    <w:qFormat/>
    <w:uiPriority w:val="0"/>
    <w:rPr>
      <w:vanish/>
      <w:color w:val="FF0000"/>
      <w:sz w:val="18"/>
      <w:szCs w:val="18"/>
    </w:rPr>
  </w:style>
  <w:style w:type="character" w:customStyle="1" w:styleId="103">
    <w:name w:val="no5"/>
    <w:basedOn w:val="26"/>
    <w:qFormat/>
    <w:uiPriority w:val="0"/>
  </w:style>
  <w:style w:type="paragraph" w:customStyle="1" w:styleId="104">
    <w:name w:val="图表文字"/>
    <w:basedOn w:val="1"/>
    <w:next w:val="1"/>
    <w:qFormat/>
    <w:uiPriority w:val="0"/>
    <w:pPr>
      <w:spacing w:line="320" w:lineRule="exact"/>
      <w:jc w:val="center"/>
    </w:pPr>
    <w:rPr>
      <w:rFonts w:cs="宋体"/>
    </w:rPr>
  </w:style>
  <w:style w:type="paragraph" w:styleId="105">
    <w:name w:val="List Paragraph"/>
    <w:basedOn w:val="1"/>
    <w:qFormat/>
    <w:uiPriority w:val="34"/>
    <w:pPr>
      <w:tabs>
        <w:tab w:val="left" w:pos="547"/>
        <w:tab w:val="left" w:pos="1080"/>
      </w:tabs>
      <w:ind w:firstLine="420" w:firstLineChars="200"/>
    </w:pPr>
  </w:style>
  <w:style w:type="paragraph" w:customStyle="1" w:styleId="106">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107">
    <w:name w:val="正文内容"/>
    <w:qFormat/>
    <w:uiPriority w:val="0"/>
    <w:pPr>
      <w:spacing w:line="300" w:lineRule="auto"/>
      <w:ind w:firstLine="420"/>
    </w:pPr>
    <w:rPr>
      <w:rFonts w:ascii="宋体" w:hAnsi="Calibri" w:eastAsia="宋体" w:cs="Times New Roman"/>
      <w:sz w:val="21"/>
      <w:lang w:val="en-US" w:eastAsia="zh-CN" w:bidi="ar-SA"/>
    </w:rPr>
  </w:style>
  <w:style w:type="paragraph" w:customStyle="1" w:styleId="10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9">
    <w:name w:val="二级条标题"/>
    <w:basedOn w:val="110"/>
    <w:next w:val="108"/>
    <w:qFormat/>
    <w:uiPriority w:val="0"/>
    <w:pPr>
      <w:numPr>
        <w:ilvl w:val="3"/>
        <w:numId w:val="1"/>
      </w:numPr>
      <w:outlineLvl w:val="3"/>
    </w:pPr>
  </w:style>
  <w:style w:type="paragraph" w:customStyle="1" w:styleId="110">
    <w:name w:val="一级条标题"/>
    <w:basedOn w:val="111"/>
    <w:next w:val="108"/>
    <w:qFormat/>
    <w:uiPriority w:val="0"/>
    <w:pPr>
      <w:numPr>
        <w:ilvl w:val="2"/>
        <w:numId w:val="1"/>
      </w:numPr>
      <w:spacing w:before="0" w:beforeLines="0" w:after="0" w:afterLines="0"/>
      <w:outlineLvl w:val="2"/>
    </w:pPr>
  </w:style>
  <w:style w:type="paragraph" w:customStyle="1" w:styleId="111">
    <w:name w:val="章标题"/>
    <w:next w:val="108"/>
    <w:qFormat/>
    <w:uiPriority w:val="0"/>
    <w:pPr>
      <w:numPr>
        <w:ilvl w:val="1"/>
        <w:numId w:val="1"/>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2">
    <w:name w:val="无间隔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3">
    <w:name w:val="RR3"/>
    <w:basedOn w:val="1"/>
    <w:qFormat/>
    <w:uiPriority w:val="0"/>
    <w:pPr>
      <w:tabs>
        <w:tab w:val="left" w:pos="312"/>
      </w:tabs>
      <w:spacing w:line="440" w:lineRule="exact"/>
      <w:jc w:val="left"/>
    </w:pPr>
    <w:rPr>
      <w:rFonts w:ascii="仿宋_GB2312" w:hAnsi="宋体" w:eastAsia="仿宋_GB2312"/>
      <w:sz w:val="24"/>
      <w:szCs w:val="24"/>
    </w:rPr>
  </w:style>
  <w:style w:type="paragraph" w:customStyle="1" w:styleId="114">
    <w:name w:val="No Spacing"/>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31821D-11B4-46B7-A21F-EBCD020FF4F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7356</Words>
  <Characters>8250</Characters>
  <Lines>67</Lines>
  <Paragraphs>19</Paragraphs>
  <TotalTime>5</TotalTime>
  <ScaleCrop>false</ScaleCrop>
  <LinksUpToDate>false</LinksUpToDate>
  <CharactersWithSpaces>9179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2015-06-08T01:41:00Z</dcterms:created>
  <dc:creator>微软用户</dc:creator>
  <cp:lastModifiedBy>王蕾</cp:lastModifiedBy>
  <cp:lastPrinted>2012-09-02T01:08:00Z</cp:lastPrinted>
  <dcterms:modified xsi:type="dcterms:W3CDTF">2021-11-24T08:44:26Z</dcterms:modified>
  <dc:title>材料邀标书</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114161F44A86470D8892E2A02485ACFB</vt:lpwstr>
  </property>
</Properties>
</file>